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CAA6" w:rsidR="004F7256" w:rsidRPr="00D44E5F" w:rsidRDefault="00C25653" w:rsidP="00C25653">
      <w:pPr>
        <w:spacing w:after="0" w:line="240" w:lineRule="auto"/>
        <w:jc w:val="center"/>
        <w:rPr>
          <w:b/>
          <w:color w:val="548DD4" w:themeColor="text2" w:themeTint="99"/>
          <w:sz w:val="28"/>
          <w:szCs w:val="28"/>
        </w:rPr>
      </w:pPr>
      <w:r w:rsidRPr="00D44E5F">
        <w:rPr>
          <w:b/>
          <w:color w:val="548DD4" w:themeColor="text2" w:themeTint="99"/>
          <w:sz w:val="28"/>
          <w:szCs w:val="28"/>
        </w:rPr>
        <w:t>Engagement Facility</w:t>
      </w:r>
      <w:r w:rsidR="00BA0BF0">
        <w:rPr>
          <w:b/>
          <w:color w:val="548DD4" w:themeColor="text2" w:themeTint="99"/>
          <w:sz w:val="28"/>
          <w:szCs w:val="28"/>
        </w:rPr>
        <w:t xml:space="preserve"> – </w:t>
      </w:r>
      <w:r w:rsidR="00623BE6">
        <w:rPr>
          <w:b/>
          <w:color w:val="548DD4" w:themeColor="text2" w:themeTint="99"/>
          <w:sz w:val="28"/>
          <w:szCs w:val="28"/>
        </w:rPr>
        <w:t>Concept Note</w:t>
      </w:r>
    </w:p>
    <w:p w14:paraId="1203DB41" w:rsidR="00C25653" w:rsidRDefault="00C25653" w:rsidP="00C25653">
      <w:pPr>
        <w:spacing w:after="0" w:line="240" w:lineRule="auto"/>
      </w:pPr>
    </w:p>
    <w:p w14:paraId="3036C959" w:rsidR="00C25653" w:rsidRDefault="00C25653" w:rsidP="00C25653">
      <w:pPr>
        <w:spacing w:after="0" w:line="240" w:lineRule="auto"/>
      </w:pPr>
    </w:p>
    <w:p w14:paraId="1842EB16" w:rsidR="00322EDE" w:rsidRDefault="00322EDE" w:rsidP="00C25653">
      <w:pPr>
        <w:spacing w:after="0" w:line="240" w:lineRule="auto"/>
      </w:pPr>
    </w:p>
    <w:p w14:paraId="0F26A912" w:rsidR="00C25653" w:rsidRPr="00BD05C5" w:rsidRDefault="00410049" w:rsidP="00BD05C5">
      <w:pPr>
        <w:pStyle w:val="ListParagraph"/>
        <w:numPr>
          <w:ilvl w:val="0"/>
          <w:numId w:val="7"/>
        </w:numPr>
        <w:spacing w:after="0" w:line="240" w:lineRule="auto"/>
        <w:rPr>
          <w:b/>
          <w:color w:val="548DD4" w:themeColor="text2" w:themeTint="99"/>
          <w:sz w:val="24"/>
          <w:szCs w:val="24"/>
        </w:rPr>
      </w:pPr>
      <w:r>
        <w:rPr>
          <w:b/>
          <w:color w:val="548DD4" w:themeColor="text2" w:themeTint="99"/>
          <w:sz w:val="24"/>
          <w:szCs w:val="24"/>
        </w:rPr>
        <w:t>Background</w:t>
      </w:r>
    </w:p>
    <w:p w14:paraId="6B6B673C" w:rsidR="006F3EE4" w:rsidRDefault="006F3EE4" w:rsidP="00A21D2E">
      <w:pPr>
        <w:spacing w:after="0" w:line="240" w:lineRule="auto"/>
        <w:jc w:val="both"/>
      </w:pPr>
    </w:p>
    <w:p w14:paraId="6B88BD03" w:rsidR="00303DB0" w:rsidRPr="00D93661" w:rsidRDefault="00FD6240" w:rsidP="00A21D2E">
      <w:pPr>
        <w:spacing w:after="0" w:line="240" w:lineRule="auto"/>
        <w:jc w:val="both"/>
        <w:rPr>
          <w:highlight w:val="yellow"/>
        </w:rPr>
      </w:pPr>
      <w:r>
        <w:t xml:space="preserve">There is a recognized need in UNDP for a </w:t>
      </w:r>
      <w:r w:rsidR="003326CD">
        <w:t xml:space="preserve">more </w:t>
      </w:r>
      <w:r>
        <w:t xml:space="preserve">simplified and flexible way to </w:t>
      </w:r>
      <w:r w:rsidR="003326CD">
        <w:t>utilize resources for achieving upstream policy results</w:t>
      </w:r>
      <w:r w:rsidR="00670F58">
        <w:t xml:space="preserve"> and testing innovations</w:t>
      </w:r>
      <w:r w:rsidR="003326CD">
        <w:t>.</w:t>
      </w:r>
      <w:r w:rsidR="00557EBC">
        <w:t xml:space="preserve"> </w:t>
      </w:r>
      <w:r w:rsidR="00303DB0">
        <w:t xml:space="preserve">As part of the Programme and Project Management Taskforce, members concluded that </w:t>
      </w:r>
      <w:r w:rsidR="000E366D">
        <w:t xml:space="preserve">a </w:t>
      </w:r>
      <w:r w:rsidR="00303DB0">
        <w:t xml:space="preserve">delivery mechanism with low transaction costs </w:t>
      </w:r>
      <w:r w:rsidR="000E366D">
        <w:t>is</w:t>
      </w:r>
      <w:r w:rsidR="00303DB0">
        <w:t xml:space="preserve"> </w:t>
      </w:r>
      <w:r w:rsidR="007D5924">
        <w:t>needed</w:t>
      </w:r>
      <w:r w:rsidR="00303DB0">
        <w:t xml:space="preserve"> for UNDP to rapidly respond to requests for policy support. </w:t>
      </w:r>
      <w:r w:rsidR="000E366D" w:rsidRPr="00D93661">
        <w:rPr>
          <w:highlight w:val="yellow"/>
        </w:rPr>
        <w:t>‘</w:t>
      </w:r>
      <w:r w:rsidR="00303DB0" w:rsidRPr="00D93661">
        <w:rPr>
          <w:highlight w:val="yellow"/>
        </w:rPr>
        <w:t>Engagement projects</w:t>
      </w:r>
      <w:r w:rsidR="000E366D" w:rsidRPr="00D93661">
        <w:rPr>
          <w:highlight w:val="yellow"/>
        </w:rPr>
        <w:t>’</w:t>
      </w:r>
      <w:r w:rsidR="00303DB0" w:rsidRPr="00D93661">
        <w:rPr>
          <w:highlight w:val="yellow"/>
        </w:rPr>
        <w:t xml:space="preserve"> were identified as a possible solution. Such engagement projects </w:t>
      </w:r>
      <w:r w:rsidR="00BF1377" w:rsidRPr="00D93661">
        <w:rPr>
          <w:highlight w:val="yellow"/>
        </w:rPr>
        <w:t>would</w:t>
      </w:r>
      <w:r w:rsidR="00303DB0" w:rsidRPr="00D93661">
        <w:rPr>
          <w:highlight w:val="yellow"/>
        </w:rPr>
        <w:t xml:space="preserve"> cover:</w:t>
      </w:r>
    </w:p>
    <w:p w14:paraId="6A1E6EEF" w:rsidR="000E6CA5" w:rsidRPr="00D93661" w:rsidRDefault="00303DB0" w:rsidP="000E366D">
      <w:pPr>
        <w:pStyle w:val="ListParagraph"/>
        <w:numPr>
          <w:ilvl w:val="0"/>
          <w:numId w:val="2"/>
        </w:numPr>
        <w:spacing w:before="120" w:after="0" w:line="240" w:lineRule="auto"/>
        <w:contextualSpacing w:val="0"/>
        <w:jc w:val="both"/>
        <w:rPr>
          <w:highlight w:val="yellow"/>
        </w:rPr>
      </w:pPr>
      <w:r w:rsidRPr="00D93661">
        <w:rPr>
          <w:highlight w:val="yellow"/>
        </w:rPr>
        <w:t>The provision of time sensitive high-level/targeted advisory services for government counterparts, through the</w:t>
      </w:r>
      <w:r w:rsidR="000E6CA5" w:rsidRPr="00D93661">
        <w:rPr>
          <w:highlight w:val="yellow"/>
        </w:rPr>
        <w:t xml:space="preserve"> mobilization of experts</w:t>
      </w:r>
      <w:r w:rsidR="000E366D" w:rsidRPr="00D93661">
        <w:rPr>
          <w:highlight w:val="yellow"/>
        </w:rPr>
        <w:t>;</w:t>
      </w:r>
    </w:p>
    <w:p w14:paraId="727B79B8" w:rsidR="000E6CA5" w:rsidRPr="00D93661" w:rsidRDefault="000E6CA5" w:rsidP="00A21D2E">
      <w:pPr>
        <w:pStyle w:val="ListParagraph"/>
        <w:numPr>
          <w:ilvl w:val="0"/>
          <w:numId w:val="2"/>
        </w:numPr>
        <w:spacing w:after="0" w:line="240" w:lineRule="auto"/>
        <w:jc w:val="both"/>
        <w:rPr>
          <w:highlight w:val="yellow"/>
        </w:rPr>
      </w:pPr>
      <w:r w:rsidRPr="00D93661">
        <w:rPr>
          <w:highlight w:val="yellow"/>
        </w:rPr>
        <w:t>T</w:t>
      </w:r>
      <w:r w:rsidR="00303DB0" w:rsidRPr="00D93661">
        <w:rPr>
          <w:highlight w:val="yellow"/>
        </w:rPr>
        <w:t xml:space="preserve">he development of knowledge/innovative products requiring external expertise </w:t>
      </w:r>
      <w:r w:rsidRPr="00D93661">
        <w:rPr>
          <w:highlight w:val="yellow"/>
        </w:rPr>
        <w:t>that falls w</w:t>
      </w:r>
      <w:r w:rsidR="00037B40" w:rsidRPr="00D93661">
        <w:rPr>
          <w:highlight w:val="yellow"/>
        </w:rPr>
        <w:t>ithin UNDP’s value offering;</w:t>
      </w:r>
    </w:p>
    <w:p w14:paraId="299259C3" w:rsidR="00303DB0" w:rsidRPr="00D93661" w:rsidRDefault="000E6CA5" w:rsidP="00A21D2E">
      <w:pPr>
        <w:pStyle w:val="ListParagraph"/>
        <w:numPr>
          <w:ilvl w:val="0"/>
          <w:numId w:val="2"/>
        </w:numPr>
        <w:spacing w:after="0" w:line="240" w:lineRule="auto"/>
        <w:jc w:val="both"/>
        <w:rPr>
          <w:highlight w:val="yellow"/>
        </w:rPr>
      </w:pPr>
      <w:r w:rsidRPr="00D93661">
        <w:rPr>
          <w:highlight w:val="yellow"/>
        </w:rPr>
        <w:t>The organization of special events related to development issues that cannot be covered by an existing project</w:t>
      </w:r>
      <w:r w:rsidR="00037B40" w:rsidRPr="00D93661">
        <w:rPr>
          <w:highlight w:val="yellow"/>
        </w:rPr>
        <w:t>;</w:t>
      </w:r>
      <w:r w:rsidR="000E366D" w:rsidRPr="00D93661">
        <w:rPr>
          <w:rStyle w:val="FootnoteReference"/>
          <w:highlight w:val="yellow"/>
        </w:rPr>
        <w:footnoteReference w:id="1"/>
      </w:r>
      <w:r w:rsidR="00037B40" w:rsidRPr="00D93661">
        <w:rPr>
          <w:highlight w:val="yellow"/>
        </w:rPr>
        <w:t xml:space="preserve"> and</w:t>
      </w:r>
    </w:p>
    <w:p w14:paraId="494D2D73" w:rsidR="00037B40" w:rsidRPr="00D93661" w:rsidRDefault="00037B40" w:rsidP="00A21D2E">
      <w:pPr>
        <w:pStyle w:val="ListParagraph"/>
        <w:numPr>
          <w:ilvl w:val="0"/>
          <w:numId w:val="2"/>
        </w:numPr>
        <w:spacing w:after="0" w:line="240" w:lineRule="auto"/>
        <w:jc w:val="both"/>
        <w:rPr>
          <w:highlight w:val="yellow"/>
        </w:rPr>
      </w:pPr>
      <w:r w:rsidRPr="00D93661">
        <w:rPr>
          <w:highlight w:val="yellow"/>
        </w:rPr>
        <w:t>The</w:t>
      </w:r>
      <w:r w:rsidR="0071408A" w:rsidRPr="00D93661">
        <w:rPr>
          <w:highlight w:val="yellow"/>
        </w:rPr>
        <w:t xml:space="preserve"> testing of innovations that have</w:t>
      </w:r>
      <w:r w:rsidRPr="00D93661">
        <w:rPr>
          <w:highlight w:val="yellow"/>
        </w:rPr>
        <w:t xml:space="preserve"> the potential for scaling-up.</w:t>
      </w:r>
    </w:p>
    <w:p w14:paraId="1FAF424E" w:rsidR="00303DB0" w:rsidRDefault="00303DB0" w:rsidP="00A21D2E">
      <w:pPr>
        <w:spacing w:after="0" w:line="240" w:lineRule="auto"/>
        <w:jc w:val="both"/>
      </w:pPr>
    </w:p>
    <w:p w14:paraId="6C44DA5A" w:rsidR="00992DEF" w:rsidRDefault="0085507F" w:rsidP="00A21D2E">
      <w:pPr>
        <w:spacing w:after="0" w:line="240" w:lineRule="auto"/>
        <w:jc w:val="both"/>
      </w:pPr>
      <w:r>
        <w:t xml:space="preserve">The paper entitled </w:t>
      </w:r>
      <w:r w:rsidR="000E366D">
        <w:t>‘</w:t>
      </w:r>
      <w:r>
        <w:t>Programme and Project Management for a New Strategic Plan</w:t>
      </w:r>
      <w:r w:rsidR="000E366D">
        <w:t>’</w:t>
      </w:r>
      <w:r>
        <w:t xml:space="preserve"> </w:t>
      </w:r>
      <w:r w:rsidR="000E6CA5">
        <w:t xml:space="preserve">reiterated </w:t>
      </w:r>
      <w:r w:rsidR="00633199">
        <w:t>the need for engagement projects</w:t>
      </w:r>
      <w:r w:rsidR="0044504E">
        <w:t xml:space="preserve"> for the above purposes</w:t>
      </w:r>
      <w:r w:rsidR="00633199">
        <w:t>.</w:t>
      </w:r>
      <w:r w:rsidR="00F87FC2">
        <w:t xml:space="preserve"> This paper was approved by the OPG in December 2012.</w:t>
      </w:r>
    </w:p>
    <w:p w14:paraId="499DA793" w:rsidR="0085507F" w:rsidRDefault="0085507F" w:rsidP="00A21D2E">
      <w:pPr>
        <w:spacing w:after="0" w:line="240" w:lineRule="auto"/>
        <w:jc w:val="both"/>
      </w:pPr>
    </w:p>
    <w:p w14:paraId="4803053C" w:rsidR="0085507F" w:rsidRDefault="00121BAE" w:rsidP="00A21D2E">
      <w:pPr>
        <w:spacing w:after="0" w:line="240" w:lineRule="auto"/>
        <w:jc w:val="both"/>
      </w:pPr>
      <w:r>
        <w:t xml:space="preserve">The existing mechanisms for conducting upstream policy </w:t>
      </w:r>
      <w:r w:rsidR="00446664">
        <w:t xml:space="preserve">and innovation </w:t>
      </w:r>
      <w:r>
        <w:t>activities</w:t>
      </w:r>
      <w:r w:rsidR="007540F2">
        <w:t xml:space="preserve"> were</w:t>
      </w:r>
      <w:r>
        <w:t xml:space="preserve"> </w:t>
      </w:r>
      <w:r w:rsidR="0044504E">
        <w:t>reviewed</w:t>
      </w:r>
      <w:r>
        <w:t xml:space="preserve">, </w:t>
      </w:r>
      <w:r w:rsidR="00DE528E">
        <w:t xml:space="preserve">and new approaches to achieve the above objectives were explored </w:t>
      </w:r>
      <w:r>
        <w:t xml:space="preserve">including defining a new project type and </w:t>
      </w:r>
      <w:r w:rsidR="007540F2">
        <w:t xml:space="preserve">streamlining existing delivery mechanisms. The result of this </w:t>
      </w:r>
      <w:r w:rsidR="00DE528E">
        <w:t>analysis</w:t>
      </w:r>
      <w:r w:rsidR="007540F2">
        <w:t xml:space="preserve"> concluded that </w:t>
      </w:r>
      <w:r w:rsidR="007540F2" w:rsidRPr="00410049">
        <w:t xml:space="preserve">the </w:t>
      </w:r>
      <w:r w:rsidR="004E0E49" w:rsidRPr="00410049">
        <w:t xml:space="preserve">recommended approach is to combine the DAS and DSS delivery mechanisms into one </w:t>
      </w:r>
      <w:r w:rsidR="00DB24F6" w:rsidRPr="00410049">
        <w:t xml:space="preserve">rapid response facility for upstream policy </w:t>
      </w:r>
      <w:r w:rsidR="004B166B" w:rsidRPr="00410049">
        <w:t xml:space="preserve">and innovation </w:t>
      </w:r>
      <w:r w:rsidR="00DB24F6" w:rsidRPr="00410049">
        <w:t>results</w:t>
      </w:r>
      <w:r w:rsidR="00786242" w:rsidRPr="00410049">
        <w:t xml:space="preserve"> (renamed the “Engagement Facility”)</w:t>
      </w:r>
      <w:r w:rsidR="00DB24F6" w:rsidRPr="00410049">
        <w:t xml:space="preserve"> and to revisit the procedures and guidelines around the use of </w:t>
      </w:r>
      <w:r w:rsidR="00786242" w:rsidRPr="00410049">
        <w:t xml:space="preserve">this facility to encourage </w:t>
      </w:r>
      <w:r w:rsidR="0065385B" w:rsidRPr="00410049">
        <w:t>a greater potential for policy impact.</w:t>
      </w:r>
    </w:p>
    <w:p w14:paraId="5A53D9A1" w:rsidR="0065385B" w:rsidRDefault="0065385B" w:rsidP="00A21D2E">
      <w:pPr>
        <w:spacing w:after="0" w:line="240" w:lineRule="auto"/>
        <w:jc w:val="both"/>
      </w:pPr>
    </w:p>
    <w:p w14:paraId="51789713" w:rsidR="0065385B" w:rsidRDefault="00410049" w:rsidP="00A21D2E">
      <w:pPr>
        <w:spacing w:after="0" w:line="240" w:lineRule="auto"/>
        <w:jc w:val="both"/>
      </w:pPr>
      <w:r>
        <w:t>In October 2013, the Organizational Performance Group (OPG):</w:t>
      </w:r>
    </w:p>
    <w:p w14:paraId="6EAAF6F3" w:rsidR="0065385B" w:rsidRDefault="0065385B" w:rsidP="0065385B">
      <w:pPr>
        <w:pStyle w:val="ListParagraph"/>
        <w:numPr>
          <w:ilvl w:val="0"/>
          <w:numId w:val="5"/>
        </w:numPr>
        <w:spacing w:after="0" w:line="240" w:lineRule="auto"/>
        <w:jc w:val="both"/>
      </w:pPr>
      <w:r>
        <w:t>Endorse</w:t>
      </w:r>
      <w:r w:rsidR="00410049">
        <w:t xml:space="preserve">d </w:t>
      </w:r>
      <w:r>
        <w:t>the creation of an “engagement facility”</w:t>
      </w:r>
      <w:r w:rsidR="003E1618">
        <w:t xml:space="preserve"> for delivering upstream policy </w:t>
      </w:r>
      <w:r w:rsidR="00446664">
        <w:t xml:space="preserve">and innovation </w:t>
      </w:r>
      <w:r w:rsidR="003E1618">
        <w:t>results</w:t>
      </w:r>
      <w:r>
        <w:t xml:space="preserve"> </w:t>
      </w:r>
      <w:r w:rsidR="0012313A">
        <w:t>by</w:t>
      </w:r>
      <w:r>
        <w:t xml:space="preserve"> combining DAS and DSS</w:t>
      </w:r>
      <w:r w:rsidR="0012313A">
        <w:t xml:space="preserve"> and bring</w:t>
      </w:r>
      <w:r w:rsidR="004B166B">
        <w:t xml:space="preserve">ing this facility </w:t>
      </w:r>
      <w:r w:rsidR="0012313A">
        <w:t>into the programme and project management policies and procedures of the POPP</w:t>
      </w:r>
      <w:r w:rsidR="004B166B">
        <w:t>.</w:t>
      </w:r>
    </w:p>
    <w:p w14:paraId="7390D9C2" w:rsidR="0065385B" w:rsidRDefault="000421B7" w:rsidP="0065385B">
      <w:pPr>
        <w:pStyle w:val="ListParagraph"/>
        <w:numPr>
          <w:ilvl w:val="0"/>
          <w:numId w:val="5"/>
        </w:numPr>
        <w:spacing w:after="0" w:line="240" w:lineRule="auto"/>
        <w:jc w:val="both"/>
      </w:pPr>
      <w:r>
        <w:t>Approve</w:t>
      </w:r>
      <w:r w:rsidR="00410049">
        <w:t>d</w:t>
      </w:r>
      <w:r>
        <w:t xml:space="preserve"> </w:t>
      </w:r>
      <w:r w:rsidR="004A2BB5">
        <w:t>rolling</w:t>
      </w:r>
      <w:r>
        <w:t xml:space="preserve"> </w:t>
      </w:r>
      <w:r w:rsidR="008965CF">
        <w:t>the existing DSS allocations into the engagement facility, as well as the current guidelines on permissible DAS funding sources (non-core mobil</w:t>
      </w:r>
      <w:r w:rsidR="006A102A">
        <w:t xml:space="preserve">ized resources, </w:t>
      </w:r>
      <w:r w:rsidR="006A102A" w:rsidRPr="002F3D79">
        <w:t>earned interest</w:t>
      </w:r>
      <w:r w:rsidR="002F3D79">
        <w:t xml:space="preserve"> (from the 11888 account)</w:t>
      </w:r>
      <w:r w:rsidR="006A102A">
        <w:t>, residual cost sharing income balances, direct government and third party contributions, etc.)</w:t>
      </w:r>
      <w:r w:rsidR="00A27049">
        <w:t xml:space="preserve"> and </w:t>
      </w:r>
      <w:r w:rsidR="004B3106">
        <w:t>expand</w:t>
      </w:r>
      <w:r w:rsidR="00A27049">
        <w:t>ed</w:t>
      </w:r>
      <w:r w:rsidR="004B3106">
        <w:t xml:space="preserve"> the approved funding sources for the Engagement Facility to include regional and global </w:t>
      </w:r>
      <w:r w:rsidR="00A27049">
        <w:t>core programme resource lines</w:t>
      </w:r>
      <w:r w:rsidR="002F3D79">
        <w:t>.</w:t>
      </w:r>
    </w:p>
    <w:p w14:paraId="151B595D" w:rsidR="0094431F" w:rsidRDefault="0094431F" w:rsidP="0065385B">
      <w:pPr>
        <w:pStyle w:val="ListParagraph"/>
        <w:numPr>
          <w:ilvl w:val="0"/>
          <w:numId w:val="5"/>
        </w:numPr>
        <w:spacing w:after="0" w:line="240" w:lineRule="auto"/>
        <w:jc w:val="both"/>
      </w:pPr>
      <w:r>
        <w:t>Endorse</w:t>
      </w:r>
      <w:r w:rsidR="00410049">
        <w:t>d</w:t>
      </w:r>
      <w:r>
        <w:t xml:space="preserve"> the recommended procedures outlined in section </w:t>
      </w:r>
      <w:r w:rsidR="005B6BA5">
        <w:t>4</w:t>
      </w:r>
      <w:r>
        <w:t xml:space="preserve"> of this</w:t>
      </w:r>
      <w:r w:rsidR="005B6BA5">
        <w:t xml:space="preserve"> paper (page 4).</w:t>
      </w:r>
    </w:p>
    <w:p w14:paraId="4EB3375F" w:rsidR="00FD6240" w:rsidRDefault="00FD6240" w:rsidP="00A21D2E">
      <w:pPr>
        <w:spacing w:after="0" w:line="240" w:lineRule="auto"/>
        <w:jc w:val="both"/>
      </w:pPr>
    </w:p>
    <w:p w14:paraId="52359574" w:rsidR="00322EDE" w:rsidRDefault="00322EDE" w:rsidP="00A21D2E">
      <w:pPr>
        <w:spacing w:after="0" w:line="240" w:lineRule="auto"/>
        <w:jc w:val="both"/>
      </w:pPr>
    </w:p>
    <w:p w14:paraId="1BAC7F61" w:rsidR="00322EDE" w:rsidRDefault="00322EDE" w:rsidP="00A21D2E">
      <w:pPr>
        <w:spacing w:after="0" w:line="240" w:lineRule="auto"/>
        <w:jc w:val="both"/>
      </w:pPr>
    </w:p>
    <w:p w14:paraId="4C8244C8" w:rsidR="00D44E5F" w:rsidRPr="00BD05C5" w:rsidRDefault="00682BD7" w:rsidP="00BD05C5">
      <w:pPr>
        <w:pStyle w:val="ListParagraph"/>
        <w:numPr>
          <w:ilvl w:val="0"/>
          <w:numId w:val="7"/>
        </w:numPr>
        <w:spacing w:after="0" w:line="240" w:lineRule="auto"/>
        <w:rPr>
          <w:b/>
          <w:color w:val="548DD4" w:themeColor="text2" w:themeTint="99"/>
          <w:sz w:val="24"/>
          <w:szCs w:val="24"/>
        </w:rPr>
      </w:pPr>
      <w:r w:rsidRPr="00BD05C5">
        <w:rPr>
          <w:b/>
          <w:color w:val="548DD4" w:themeColor="text2" w:themeTint="99"/>
          <w:sz w:val="24"/>
          <w:szCs w:val="24"/>
        </w:rPr>
        <w:t>Options Appraisal</w:t>
      </w:r>
    </w:p>
    <w:p w14:paraId="2489B440" w:rsidR="006F3EE4" w:rsidRDefault="006F3EE4" w:rsidP="00682BD7">
      <w:pPr>
        <w:spacing w:after="0" w:line="240" w:lineRule="auto"/>
        <w:jc w:val="both"/>
      </w:pPr>
    </w:p>
    <w:p w14:paraId="3CA8FF7E" w:rsidR="00682BD7" w:rsidRDefault="00682BD7" w:rsidP="00682BD7">
      <w:pPr>
        <w:spacing w:after="0" w:line="240" w:lineRule="auto"/>
        <w:jc w:val="both"/>
      </w:pPr>
      <w:r>
        <w:t xml:space="preserve">UNDP’s policies and procedures currently have several delivery mechanisms for upstream policy work: </w:t>
      </w:r>
      <w:r w:rsidR="005E49DC">
        <w:t xml:space="preserve">a) </w:t>
      </w:r>
      <w:r>
        <w:t>full</w:t>
      </w:r>
      <w:r w:rsidR="005E49DC">
        <w:t>-scale</w:t>
      </w:r>
      <w:r>
        <w:t xml:space="preserve"> projects</w:t>
      </w:r>
      <w:r w:rsidR="005E49DC">
        <w:t xml:space="preserve"> within approved Country Programmes and implemented in accordance with NIM, </w:t>
      </w:r>
      <w:r w:rsidR="005E49DC">
        <w:lastRenderedPageBreak/>
        <w:t>DIM or other valid programme implementation modalities; b) project</w:t>
      </w:r>
      <w:r>
        <w:t xml:space="preserve"> initiation </w:t>
      </w:r>
      <w:r w:rsidRPr="002F3D79">
        <w:t>plans</w:t>
      </w:r>
      <w:r w:rsidR="005E49DC" w:rsidRPr="002F3D79">
        <w:t>;</w:t>
      </w:r>
      <w:r w:rsidR="005E49DC">
        <w:t xml:space="preserve"> </w:t>
      </w:r>
      <w:r>
        <w:t xml:space="preserve"> and</w:t>
      </w:r>
      <w:r w:rsidR="005E49DC">
        <w:t xml:space="preserve"> c) </w:t>
      </w:r>
      <w:r>
        <w:t>the</w:t>
      </w:r>
      <w:r w:rsidR="005E49DC">
        <w:t xml:space="preserve"> Development Effectiveness</w:t>
      </w:r>
      <w:r>
        <w:t xml:space="preserve"> funding facilities</w:t>
      </w:r>
      <w:r w:rsidR="005E49DC">
        <w:t>:</w:t>
      </w:r>
      <w:r>
        <w:t xml:space="preserve"> </w:t>
      </w:r>
      <w:r w:rsidR="005E49DC">
        <w:t>regular resources</w:t>
      </w:r>
      <w:r w:rsidR="00F54E12">
        <w:t>-</w:t>
      </w:r>
      <w:r w:rsidR="005E49DC">
        <w:t xml:space="preserve">funded </w:t>
      </w:r>
      <w:r>
        <w:t>DSS (Development Support Services)</w:t>
      </w:r>
      <w:r w:rsidR="005E49DC">
        <w:t xml:space="preserve"> and its counterpart other resource</w:t>
      </w:r>
      <w:r w:rsidR="00F54E12">
        <w:t>-</w:t>
      </w:r>
      <w:r w:rsidR="005E49DC">
        <w:t xml:space="preserve">funded </w:t>
      </w:r>
      <w:r w:rsidR="005E49DC" w:rsidRPr="005E49DC">
        <w:t xml:space="preserve"> </w:t>
      </w:r>
      <w:r w:rsidR="005E49DC">
        <w:t>DAS (Development Advisory Services)</w:t>
      </w:r>
      <w:r>
        <w:t>. A table comparing the purpose, features and transaction costs for each of these delivery mechanisms is located in Annex 1.</w:t>
      </w:r>
    </w:p>
    <w:p w14:paraId="054D9219" w:rsidR="00682BD7" w:rsidRDefault="00682BD7" w:rsidP="00A21D2E">
      <w:pPr>
        <w:spacing w:after="0" w:line="240" w:lineRule="auto"/>
        <w:jc w:val="both"/>
      </w:pPr>
    </w:p>
    <w:p w14:paraId="1233C625" w:rsidR="00E60E02" w:rsidRDefault="0020146B" w:rsidP="00E60E02">
      <w:pPr>
        <w:spacing w:after="0" w:line="240" w:lineRule="auto"/>
        <w:jc w:val="both"/>
      </w:pPr>
      <w:r>
        <w:t xml:space="preserve">While the </w:t>
      </w:r>
      <w:r w:rsidR="006E2D03">
        <w:t xml:space="preserve">full </w:t>
      </w:r>
      <w:r>
        <w:t xml:space="preserve">project is the broadest </w:t>
      </w:r>
      <w:r w:rsidR="001459DA">
        <w:t>delivery mechanism UNDP has</w:t>
      </w:r>
      <w:r>
        <w:t xml:space="preserve"> (i.e., it can be used for virtually anything UNDP is mandated to do), it also has the most </w:t>
      </w:r>
      <w:r w:rsidR="00E60E02">
        <w:t xml:space="preserve">procedural </w:t>
      </w:r>
      <w:r>
        <w:t xml:space="preserve">requirements and highest transaction costs. </w:t>
      </w:r>
      <w:r w:rsidR="00E60E02">
        <w:t xml:space="preserve">A light project </w:t>
      </w:r>
      <w:r w:rsidR="00CB22C4">
        <w:t xml:space="preserve">modality </w:t>
      </w:r>
      <w:r w:rsidR="00E60E02">
        <w:t xml:space="preserve">for engagement was initially considered to provide a more simplified and flexible way to engage in upstream policy initiatives. This approach could include a default DIM modality without requiring HQ approval, a light appraisal and eliminating the requirement for a Project Board. Since the current project document template only requires 4-6 pages of text at minimum, a lighter project document template would not greatly reduce </w:t>
      </w:r>
      <w:r w:rsidR="00CB22C4">
        <w:t xml:space="preserve">required </w:t>
      </w:r>
      <w:r w:rsidR="00E60E02">
        <w:t>transaction costs</w:t>
      </w:r>
      <w:r w:rsidR="005E49DC">
        <w:t xml:space="preserve"> and is thus not necessary</w:t>
      </w:r>
      <w:r w:rsidR="00E60E02">
        <w:t>.</w:t>
      </w:r>
    </w:p>
    <w:p w14:paraId="714C393D" w:rsidR="0020146B" w:rsidRDefault="0020146B" w:rsidP="0020146B">
      <w:pPr>
        <w:spacing w:after="0" w:line="240" w:lineRule="auto"/>
        <w:jc w:val="both"/>
      </w:pPr>
    </w:p>
    <w:p w14:paraId="173E6DE9" w:rsidR="00CB22C4" w:rsidRDefault="00CB22C4" w:rsidP="00FF1875">
      <w:pPr>
        <w:spacing w:after="0" w:line="240" w:lineRule="auto"/>
        <w:jc w:val="both"/>
      </w:pPr>
      <w:r>
        <w:t>Any time a project approach is used,</w:t>
      </w:r>
      <w:r w:rsidR="003A2D60">
        <w:t xml:space="preserve"> </w:t>
      </w:r>
      <w:r w:rsidR="00DF41D5">
        <w:t xml:space="preserve">however, it brings </w:t>
      </w:r>
      <w:r>
        <w:t xml:space="preserve">a host of </w:t>
      </w:r>
      <w:r w:rsidR="00CD5688">
        <w:t xml:space="preserve">procedural </w:t>
      </w:r>
      <w:r>
        <w:t>requirements which are not</w:t>
      </w:r>
      <w:r w:rsidR="005E49DC">
        <w:t xml:space="preserve"> always</w:t>
      </w:r>
      <w:r>
        <w:t xml:space="preserve"> compatible with the needs of rapid and flexible policy</w:t>
      </w:r>
      <w:r w:rsidR="00446664">
        <w:t xml:space="preserve"> </w:t>
      </w:r>
      <w:r>
        <w:t>engagement</w:t>
      </w:r>
      <w:r w:rsidR="00446664">
        <w:t xml:space="preserve"> and the promotion of innovation</w:t>
      </w:r>
      <w:r>
        <w:t>. Opening a new project just to provide a consultant</w:t>
      </w:r>
      <w:r w:rsidR="00EA066A">
        <w:t>, develop a knowledge product</w:t>
      </w:r>
      <w:r>
        <w:t xml:space="preserve"> or hold a policy workshop creates unnecessary transaction costs</w:t>
      </w:r>
      <w:r w:rsidR="003A2D60">
        <w:t xml:space="preserve"> beyond </w:t>
      </w:r>
      <w:r w:rsidR="00EA066A">
        <w:t xml:space="preserve">the flexibility </w:t>
      </w:r>
      <w:r w:rsidR="00BA5D5A">
        <w:t xml:space="preserve">already </w:t>
      </w:r>
      <w:r w:rsidR="00EA066A">
        <w:t>offered</w:t>
      </w:r>
      <w:r w:rsidR="00BA5D5A">
        <w:t xml:space="preserve"> in existing modalities, namely </w:t>
      </w:r>
      <w:r w:rsidR="001459DA">
        <w:t>D</w:t>
      </w:r>
      <w:r w:rsidR="003A2D60">
        <w:t>AS and DSS</w:t>
      </w:r>
      <w:r>
        <w:t xml:space="preserve">. </w:t>
      </w:r>
      <w:r w:rsidR="00F50B3F">
        <w:t>The idea behind a dedicated</w:t>
      </w:r>
      <w:r w:rsidR="00BD27EB">
        <w:t xml:space="preserve"> engagement modality is to </w:t>
      </w:r>
      <w:r w:rsidR="006E2D03">
        <w:t>facilitate</w:t>
      </w:r>
      <w:r w:rsidR="00BD27EB">
        <w:t xml:space="preserve"> policy support and innovations quickly when</w:t>
      </w:r>
      <w:r w:rsidR="001459DA">
        <w:t xml:space="preserve"> an </w:t>
      </w:r>
      <w:r w:rsidR="00BD27EB">
        <w:t xml:space="preserve">opportunity arises. </w:t>
      </w:r>
      <w:r w:rsidR="00993272">
        <w:t xml:space="preserve">What is needed is an open mechanism to support revolving activities </w:t>
      </w:r>
      <w:r w:rsidR="00791FE7">
        <w:t>that</w:t>
      </w:r>
      <w:r w:rsidR="00993272">
        <w:t xml:space="preserve"> enable ideas to be </w:t>
      </w:r>
      <w:r w:rsidR="00BE7DD6">
        <w:t>tested and rapid upstream support to be provided.</w:t>
      </w:r>
      <w:r w:rsidR="00BE35E9">
        <w:t xml:space="preserve"> A traditional project can</w:t>
      </w:r>
      <w:r w:rsidR="00CA5CBF">
        <w:t>not provide this</w:t>
      </w:r>
      <w:r w:rsidR="00F50B3F">
        <w:t xml:space="preserve"> flexibility, as a project’s results framework is designed to support clearly defined results that are envisioned at the start of the project.</w:t>
      </w:r>
    </w:p>
    <w:p w14:paraId="047A7ED1" w:rsidR="00CB22C4" w:rsidRDefault="00CB22C4" w:rsidP="0020146B">
      <w:pPr>
        <w:spacing w:after="0" w:line="240" w:lineRule="auto"/>
        <w:jc w:val="both"/>
      </w:pPr>
    </w:p>
    <w:p w14:paraId="2E82091E" w:rsidR="0020146B" w:rsidRDefault="0020146B" w:rsidP="0020146B">
      <w:pPr>
        <w:spacing w:after="0" w:line="240" w:lineRule="auto"/>
        <w:jc w:val="both"/>
      </w:pPr>
      <w:r>
        <w:t xml:space="preserve">Initiation plans are much easier to start and run than projects. They are </w:t>
      </w:r>
      <w:r w:rsidR="00F50B3F">
        <w:t>intended</w:t>
      </w:r>
      <w:r>
        <w:t>, however, to finalize project documents and jump start project activities. They are not flexible enough to be used for strategic policy activities with no expectation of becoming a full project. They also must be closed within 12 months without exception.</w:t>
      </w:r>
      <w:r w:rsidR="004F404A">
        <w:t xml:space="preserve"> Some innovations </w:t>
      </w:r>
      <w:r w:rsidR="00DE5699">
        <w:t>can be tested through initiation plans, especially if there is a likelihood of a full project if the innovation proves to be successful.</w:t>
      </w:r>
      <w:r w:rsidR="000E0E6C">
        <w:t xml:space="preserve"> </w:t>
      </w:r>
      <w:r w:rsidR="003B1077">
        <w:t>This will not change. Initiation plans cannot, however accommodate many of the needs identified by the PPM Taskforce.</w:t>
      </w:r>
    </w:p>
    <w:p w14:paraId="1993A671" w:rsidR="0020146B" w:rsidRDefault="0020146B" w:rsidP="0020146B">
      <w:pPr>
        <w:spacing w:after="0" w:line="240" w:lineRule="auto"/>
        <w:jc w:val="both"/>
      </w:pPr>
    </w:p>
    <w:p w14:paraId="4CDCCB2E" w:rsidR="002C4844" w:rsidRDefault="002C4844" w:rsidP="002C4844">
      <w:pPr>
        <w:spacing w:after="0" w:line="240" w:lineRule="auto"/>
        <w:jc w:val="both"/>
      </w:pPr>
      <w:r>
        <w:t>DAS and DSS are existing funding mechanisms within UNDP’s financial resources policies and procedures, with the purpose of providing a rapid response facility for upstream policy activities. While a project number needs to be designated in Atlas, the usual project requirements (project document</w:t>
      </w:r>
      <w:r w:rsidR="00B62D55">
        <w:t>/RRF</w:t>
      </w:r>
      <w:r>
        <w:t>, appraisal, project board, etc.) do not apply. The budget is approved by the Resident Representative, and results must be reported in the ROAR.</w:t>
      </w:r>
      <w:r w:rsidR="00447457">
        <w:t xml:space="preserve"> They are both implemented by UNDP without requiring HQ approval.</w:t>
      </w:r>
      <w:r w:rsidR="00350483">
        <w:t xml:space="preserve"> One important difference between DAS/DSS and traditional programming modali</w:t>
      </w:r>
      <w:r w:rsidR="00EA7EA0">
        <w:t xml:space="preserve">ties rest with </w:t>
      </w:r>
      <w:r w:rsidR="00350483">
        <w:t xml:space="preserve">accountability. DAS and DSS are funding facilities internal to UNDP, and thus personnel hired through them are directly accountable to the UNDP RR. In projects, consultants </w:t>
      </w:r>
      <w:r w:rsidR="00EA7EA0">
        <w:t>and other hired personnel are primarily accountable to the national counterparts.</w:t>
      </w:r>
    </w:p>
    <w:p w14:paraId="0B54C990" w:rsidR="002C4844" w:rsidRDefault="002C4844" w:rsidP="002C4844">
      <w:pPr>
        <w:spacing w:after="0" w:line="240" w:lineRule="auto"/>
        <w:jc w:val="both"/>
      </w:pPr>
    </w:p>
    <w:p w14:paraId="13254A46" w:rsidR="002C4844" w:rsidRDefault="002C4844" w:rsidP="002C4844">
      <w:pPr>
        <w:spacing w:after="0" w:line="240" w:lineRule="auto"/>
        <w:jc w:val="both"/>
      </w:pPr>
      <w:r>
        <w:t xml:space="preserve">DAS and DSS are very flexible and simple mechanisms for upstream activities with </w:t>
      </w:r>
      <w:r w:rsidR="005E49DC">
        <w:t xml:space="preserve">some </w:t>
      </w:r>
      <w:r>
        <w:t>drawbacks. While they are both generally for the same purpose envisioned for the engagement project, DAS can only utilize mobilized resources, earned interest and residual balances from cost sharing, and DSS can only use a small amount of HQ-allocated regular resources. This can result in fragmentation when activities require both regular and other resources</w:t>
      </w:r>
      <w:r w:rsidR="009438F0">
        <w:t xml:space="preserve"> and COs set up separate projects to manage DAS and DSS</w:t>
      </w:r>
      <w:r>
        <w:t xml:space="preserve">. </w:t>
      </w:r>
      <w:r w:rsidR="009438F0">
        <w:t xml:space="preserve">Further, </w:t>
      </w:r>
      <w:r>
        <w:t>DAS and DSS are located in the financial resource section of the POPP and are not integrated into the Programme and Project Management policies.</w:t>
      </w:r>
      <w:r w:rsidR="0089451D">
        <w:t xml:space="preserve"> </w:t>
      </w:r>
      <w:r w:rsidR="005C1C16">
        <w:t>Guidance on documentation, quality assurance and results management of DAS and DSS are currently absent from the POPP</w:t>
      </w:r>
      <w:r w:rsidR="005A1C69">
        <w:t xml:space="preserve"> (see </w:t>
      </w:r>
      <w:r w:rsidR="005A1C69">
        <w:lastRenderedPageBreak/>
        <w:t xml:space="preserve">Annex 2 for current entries of </w:t>
      </w:r>
      <w:r w:rsidR="00BD3993">
        <w:t>DSS and DAS</w:t>
      </w:r>
      <w:r w:rsidR="005A1C69">
        <w:t xml:space="preserve"> in the POPP)</w:t>
      </w:r>
      <w:r w:rsidR="005C1C16">
        <w:t>. Finally, a</w:t>
      </w:r>
      <w:r w:rsidR="0089451D">
        <w:t>necdotal evidence</w:t>
      </w:r>
      <w:r w:rsidR="008711BD">
        <w:rPr>
          <w:rStyle w:val="FootnoteReference"/>
        </w:rPr>
        <w:footnoteReference w:id="2"/>
      </w:r>
      <w:r w:rsidR="0089451D">
        <w:t xml:space="preserve"> suggests that programme staff </w:t>
      </w:r>
      <w:r w:rsidR="000E0E6C">
        <w:t>may</w:t>
      </w:r>
      <w:r w:rsidR="0089451D">
        <w:t xml:space="preserve"> not </w:t>
      </w:r>
      <w:r w:rsidR="000E0E6C">
        <w:t xml:space="preserve">be </w:t>
      </w:r>
      <w:r w:rsidR="0089451D">
        <w:t>fully aware of how both DAS and DSS can be used to support upstream policy activities.</w:t>
      </w:r>
    </w:p>
    <w:p w14:paraId="74E03976" w:rsidR="00BD3993" w:rsidRDefault="00BD3993" w:rsidP="0020146B">
      <w:pPr>
        <w:spacing w:after="0" w:line="240" w:lineRule="auto"/>
        <w:jc w:val="both"/>
      </w:pPr>
    </w:p>
    <w:p w14:paraId="3D5D4FA1" w:rsidR="00322EDE" w:rsidRDefault="00322EDE" w:rsidP="0020146B">
      <w:pPr>
        <w:spacing w:after="0" w:line="240" w:lineRule="auto"/>
        <w:jc w:val="both"/>
      </w:pPr>
    </w:p>
    <w:p w14:paraId="2CC4EC28" w:rsidR="00E27392" w:rsidRDefault="00E27392" w:rsidP="00BD05C5">
      <w:pPr>
        <w:pStyle w:val="ListParagraph"/>
        <w:numPr>
          <w:ilvl w:val="0"/>
          <w:numId w:val="7"/>
        </w:numPr>
        <w:spacing w:after="0" w:line="240" w:lineRule="auto"/>
        <w:jc w:val="both"/>
      </w:pPr>
      <w:r w:rsidRPr="00BD05C5">
        <w:rPr>
          <w:b/>
          <w:color w:val="548DD4" w:themeColor="text2" w:themeTint="99"/>
          <w:sz w:val="24"/>
          <w:szCs w:val="24"/>
        </w:rPr>
        <w:t>Solution: Combining DAS and DSS into one Engagement Facility</w:t>
      </w:r>
    </w:p>
    <w:p w14:paraId="3860CE46" w:rsidR="006F3EE4" w:rsidRDefault="006F3EE4" w:rsidP="009814A4">
      <w:pPr>
        <w:spacing w:after="0" w:line="240" w:lineRule="auto"/>
        <w:jc w:val="both"/>
      </w:pPr>
    </w:p>
    <w:p w14:paraId="51354108" w:rsidR="009814A4" w:rsidRDefault="000A204A" w:rsidP="009814A4">
      <w:pPr>
        <w:spacing w:after="0" w:line="240" w:lineRule="auto"/>
        <w:jc w:val="both"/>
      </w:pPr>
      <w:r>
        <w:t>Members of the OPG, in addition to some members of the PPM Ta</w:t>
      </w:r>
      <w:r w:rsidR="00C653A4">
        <w:t xml:space="preserve">skforce, suggested </w:t>
      </w:r>
      <w:r w:rsidR="005977E6">
        <w:t xml:space="preserve">revising </w:t>
      </w:r>
      <w:r w:rsidR="00C653A4">
        <w:t xml:space="preserve">DSS to facilitate </w:t>
      </w:r>
      <w:r w:rsidR="005977E6">
        <w:t>quicker and simpler policy engagement.</w:t>
      </w:r>
      <w:r w:rsidR="00E27392">
        <w:t xml:space="preserve"> </w:t>
      </w:r>
      <w:r w:rsidR="005977E6">
        <w:t xml:space="preserve">This </w:t>
      </w:r>
      <w:r w:rsidR="001067E9">
        <w:t xml:space="preserve">idea </w:t>
      </w:r>
      <w:r w:rsidR="005977E6">
        <w:t>can</w:t>
      </w:r>
      <w:r w:rsidR="001067E9">
        <w:t xml:space="preserve"> be expanded in scope to</w:t>
      </w:r>
      <w:r w:rsidR="005977E6">
        <w:t xml:space="preserve"> include c</w:t>
      </w:r>
      <w:r w:rsidR="009D5FA7">
        <w:t>ombining DAS and DSS to become a more flexible facility for policy engagement regardless of funding source</w:t>
      </w:r>
      <w:r w:rsidR="001808E2">
        <w:t>, called the “Engagement Facility</w:t>
      </w:r>
      <w:r w:rsidR="009B38D1">
        <w:t>.</w:t>
      </w:r>
      <w:r w:rsidR="001808E2">
        <w:t>”</w:t>
      </w:r>
      <w:r w:rsidR="005977E6">
        <w:t xml:space="preserve"> </w:t>
      </w:r>
      <w:r w:rsidR="009B38D1">
        <w:t>Under this facility, a</w:t>
      </w:r>
      <w:r w:rsidR="00D2038A">
        <w:t xml:space="preserve">s long as the policy activities </w:t>
      </w:r>
      <w:r w:rsidR="00326F0D">
        <w:t>contribute to</w:t>
      </w:r>
      <w:r w:rsidR="00D2038A">
        <w:t xml:space="preserve"> results </w:t>
      </w:r>
      <w:r w:rsidR="00BD4464">
        <w:t>included</w:t>
      </w:r>
      <w:r w:rsidR="00D2038A">
        <w:t xml:space="preserve"> in </w:t>
      </w:r>
      <w:r w:rsidR="00BD4464">
        <w:t xml:space="preserve">the CPD or </w:t>
      </w:r>
      <w:r w:rsidR="00326F0D">
        <w:t xml:space="preserve">respond to </w:t>
      </w:r>
      <w:r w:rsidR="000F5F76">
        <w:t>emerging needs</w:t>
      </w:r>
      <w:r w:rsidR="00BD4464">
        <w:t xml:space="preserve"> </w:t>
      </w:r>
      <w:r w:rsidR="000F5F76">
        <w:t>identified</w:t>
      </w:r>
      <w:r w:rsidR="00BD4464">
        <w:t xml:space="preserve"> by the government</w:t>
      </w:r>
      <w:r w:rsidR="000F5F76">
        <w:t xml:space="preserve"> for which engagement has been explicitly sought</w:t>
      </w:r>
      <w:r w:rsidR="00326F0D">
        <w:t xml:space="preserve">, resources </w:t>
      </w:r>
      <w:r w:rsidR="009B38D1">
        <w:t>for upstream activities could</w:t>
      </w:r>
      <w:r w:rsidR="00FB3A68">
        <w:t xml:space="preserve"> be committed by Resident Representatives or others</w:t>
      </w:r>
      <w:r w:rsidR="006A2356">
        <w:t xml:space="preserve"> in the CO</w:t>
      </w:r>
      <w:r w:rsidR="00FB3A68">
        <w:t xml:space="preserve"> with delegation of authority.</w:t>
      </w:r>
      <w:r w:rsidR="00673D1A">
        <w:t xml:space="preserve"> The default implementation m</w:t>
      </w:r>
      <w:r w:rsidR="0023782D">
        <w:t>odality would</w:t>
      </w:r>
      <w:r w:rsidR="00673D1A">
        <w:t xml:space="preserve"> be DIM. </w:t>
      </w:r>
      <w:r w:rsidR="009814A4">
        <w:t>This option would not add to the existing programming tools; it would streamline them by combining t</w:t>
      </w:r>
      <w:r w:rsidR="00834F2F">
        <w:t>wo existing mechanisms into one more flexible</w:t>
      </w:r>
      <w:r w:rsidR="009814A4">
        <w:t xml:space="preserve"> funding facility. </w:t>
      </w:r>
    </w:p>
    <w:p w14:paraId="53AB08B8" w:rsidR="00673D1A" w:rsidRDefault="00673D1A" w:rsidP="009D12BA">
      <w:pPr>
        <w:spacing w:after="0" w:line="240" w:lineRule="auto"/>
        <w:jc w:val="both"/>
      </w:pPr>
    </w:p>
    <w:p w14:paraId="1FE2EB49" w:rsidR="00CF7D0A" w:rsidRDefault="006B45AA" w:rsidP="00CF7D0A">
      <w:pPr>
        <w:spacing w:after="0" w:line="240" w:lineRule="auto"/>
        <w:jc w:val="both"/>
      </w:pPr>
      <w:r>
        <w:t xml:space="preserve">The </w:t>
      </w:r>
      <w:r w:rsidR="00195C7B">
        <w:t>Engagement F</w:t>
      </w:r>
      <w:r w:rsidR="00834F2F">
        <w:t>acility</w:t>
      </w:r>
      <w:r>
        <w:t xml:space="preserve"> </w:t>
      </w:r>
      <w:r w:rsidR="00791B1A">
        <w:t>will</w:t>
      </w:r>
      <w:r w:rsidR="00834F2F">
        <w:t xml:space="preserve"> maintain the overall purpose of DAS and DSS – to </w:t>
      </w:r>
      <w:r>
        <w:t>provide a rapid response facility for upstream initiatives in UNDP’s priority areas.</w:t>
      </w:r>
      <w:r w:rsidR="004F404A">
        <w:t xml:space="preserve"> Given UNDP’s current drive to facilitate innovation, the purpose of the Engagement Facility can also be expanded to facilitate testing innovation</w:t>
      </w:r>
      <w:r w:rsidR="005563CA">
        <w:t xml:space="preserve"> with up-scaling potential</w:t>
      </w:r>
      <w:r w:rsidR="004F404A">
        <w:t>.</w:t>
      </w:r>
      <w:r w:rsidR="005F1DE2" w:rsidRPr="005F1DE2">
        <w:t xml:space="preserve"> </w:t>
      </w:r>
      <w:r w:rsidR="005F1DE2" w:rsidRPr="00D93661">
        <w:rPr>
          <w:highlight w:val="yellow"/>
        </w:rPr>
        <w:t xml:space="preserve">No project document would be required. </w:t>
      </w:r>
      <w:r w:rsidR="005563CA" w:rsidRPr="00D93661">
        <w:rPr>
          <w:highlight w:val="yellow"/>
        </w:rPr>
        <w:t>If personnel</w:t>
      </w:r>
      <w:r w:rsidR="0077676D" w:rsidRPr="00D93661">
        <w:rPr>
          <w:highlight w:val="yellow"/>
        </w:rPr>
        <w:t xml:space="preserve"> will be hired through the Engagement Facility, </w:t>
      </w:r>
      <w:r w:rsidR="00CF7D0A" w:rsidRPr="00D93661">
        <w:rPr>
          <w:highlight w:val="yellow"/>
        </w:rPr>
        <w:t xml:space="preserve">a Terms of Reference describing the background, expected results and method for assessing effectiveness would be sufficient to justify the activity. </w:t>
      </w:r>
      <w:r w:rsidR="0077676D" w:rsidRPr="00D93661">
        <w:rPr>
          <w:highlight w:val="yellow"/>
        </w:rPr>
        <w:t xml:space="preserve">If a knowledge product or special event would be funded from the facility, a brief would be prepared to explain the </w:t>
      </w:r>
      <w:r w:rsidR="000232CA" w:rsidRPr="00D93661">
        <w:rPr>
          <w:highlight w:val="yellow"/>
        </w:rPr>
        <w:t>objective, expected results and what evidence would be collected to assess results.</w:t>
      </w:r>
      <w:r w:rsidR="00CF7D0A" w:rsidRPr="00D93661">
        <w:rPr>
          <w:highlight w:val="yellow"/>
        </w:rPr>
        <w:t xml:space="preserve"> Results of the engagement facility would be reported annually in the ROAR</w:t>
      </w:r>
      <w:bookmarkStart w:id="0" w:name="_GoBack"/>
      <w:bookmarkEnd w:id="0"/>
      <w:r w:rsidR="00CF7D0A">
        <w:t xml:space="preserve">, just as required currently with DAS and DSS. </w:t>
      </w:r>
    </w:p>
    <w:p w14:paraId="0A407921" w:rsidR="00705FA4" w:rsidRDefault="00705FA4" w:rsidP="00CF7D0A">
      <w:pPr>
        <w:spacing w:after="0" w:line="240" w:lineRule="auto"/>
        <w:jc w:val="both"/>
      </w:pPr>
    </w:p>
    <w:p w14:paraId="5C2C265F" w:rsidR="00705FA4" w:rsidRDefault="00A345EA" w:rsidP="00705FA4">
      <w:pPr>
        <w:spacing w:after="120" w:line="240" w:lineRule="auto"/>
        <w:jc w:val="both"/>
      </w:pPr>
      <w:r>
        <w:t>Summary of w</w:t>
      </w:r>
      <w:r w:rsidR="00705FA4">
        <w:t>hat the Engagement Facility</w:t>
      </w:r>
      <w:r>
        <w:t xml:space="preserve"> can/cannot </w:t>
      </w:r>
      <w:r w:rsidR="00420590">
        <w:t>Fund</w:t>
      </w:r>
      <w:r w:rsidR="00705FA4">
        <w:t>:</w:t>
      </w:r>
    </w:p>
    <w:tbl>
      <w:tblPr>
        <w:tblStyle w:val="TableGrid"/>
        <w:tblW w:w="0" w:type="auto"/>
        <w:tblInd w:w="1458" w:type="dxa"/>
        <w:tblLook w:val="04A0" w:firstRow="1" w:lastRow="0" w:firstColumn="1" w:lastColumn="0" w:noHBand="0" w:noVBand="1"/>
      </w:tblPr>
      <w:tblGrid>
        <w:gridCol w:w="3330"/>
        <w:gridCol w:w="3150"/>
      </w:tblGrid>
      <w:tr w14:paraId="3A39BF5B" w:rsidR="00705FA4" w:rsidTr="00705FA4">
        <w:tc>
          <w:tcPr>
            <w:tcW w:w="3330" w:type="dxa"/>
          </w:tcPr>
          <w:p w14:paraId="5EBBECAB" w:rsidR="00705FA4" w:rsidRPr="00705FA4" w:rsidRDefault="00420590" w:rsidP="00705FA4">
            <w:pPr>
              <w:jc w:val="center"/>
              <w:rPr>
                <w:b/>
              </w:rPr>
            </w:pPr>
            <w:r>
              <w:rPr>
                <w:b/>
              </w:rPr>
              <w:t>Can Fund</w:t>
            </w:r>
          </w:p>
        </w:tc>
        <w:tc>
          <w:tcPr>
            <w:tcW w:w="3150" w:type="dxa"/>
          </w:tcPr>
          <w:p w14:paraId="38011CF4" w:rsidR="00705FA4" w:rsidRPr="00705FA4" w:rsidRDefault="00705FA4" w:rsidP="00420590">
            <w:pPr>
              <w:jc w:val="center"/>
              <w:rPr>
                <w:b/>
              </w:rPr>
            </w:pPr>
            <w:r w:rsidRPr="00705FA4">
              <w:rPr>
                <w:b/>
              </w:rPr>
              <w:t xml:space="preserve">Cannot </w:t>
            </w:r>
            <w:r w:rsidR="00420590">
              <w:rPr>
                <w:b/>
              </w:rPr>
              <w:t>Fund</w:t>
            </w:r>
          </w:p>
        </w:tc>
      </w:tr>
      <w:tr w14:paraId="5C6F7BC2" w:rsidR="00BC73DB" w:rsidTr="00705FA4">
        <w:tc>
          <w:tcPr>
            <w:tcW w:w="3330" w:type="dxa"/>
          </w:tcPr>
          <w:p w14:paraId="1EF4A5CC" w:rsidR="00BC73DB" w:rsidRPr="00BC73DB" w:rsidRDefault="00BC73DB" w:rsidP="00BC73DB">
            <w:pPr>
              <w:rPr>
                <w:rFonts w:cs="Arial"/>
                <w:bCs/>
              </w:rPr>
            </w:pPr>
            <w:r w:rsidRPr="00BC73DB">
              <w:rPr>
                <w:rFonts w:cs="Arial"/>
                <w:bCs/>
              </w:rPr>
              <w:t>Consultants – local, regional or international</w:t>
            </w:r>
          </w:p>
        </w:tc>
        <w:tc>
          <w:tcPr>
            <w:tcW w:w="3150" w:type="dxa"/>
          </w:tcPr>
          <w:p w14:paraId="70032052" w:rsidR="00BC73DB" w:rsidRPr="00BC73DB" w:rsidRDefault="00BC73DB" w:rsidP="00BC73DB">
            <w:pPr>
              <w:rPr>
                <w:rFonts w:cs="Arial"/>
                <w:bCs/>
              </w:rPr>
            </w:pPr>
            <w:r w:rsidRPr="00BC73DB">
              <w:rPr>
                <w:rFonts w:cs="Arial"/>
                <w:bCs/>
              </w:rPr>
              <w:t>Micro capital grants</w:t>
            </w:r>
          </w:p>
        </w:tc>
      </w:tr>
      <w:tr w14:paraId="5BBC6188" w:rsidR="00BC73DB" w:rsidTr="00705FA4">
        <w:tc>
          <w:tcPr>
            <w:tcW w:w="3330" w:type="dxa"/>
          </w:tcPr>
          <w:p w14:paraId="19DA431E" w:rsidR="00BC73DB" w:rsidRPr="00BC73DB" w:rsidRDefault="00BC73DB" w:rsidP="00BC73DB">
            <w:pPr>
              <w:rPr>
                <w:rFonts w:cs="Arial"/>
                <w:bCs/>
              </w:rPr>
            </w:pPr>
            <w:r w:rsidRPr="00BC73DB">
              <w:rPr>
                <w:rFonts w:cs="Arial"/>
                <w:bCs/>
              </w:rPr>
              <w:t>UNDP staff on short-term TA or SC contracts, directly supporting related activities</w:t>
            </w:r>
          </w:p>
        </w:tc>
        <w:tc>
          <w:tcPr>
            <w:tcW w:w="3150" w:type="dxa"/>
          </w:tcPr>
          <w:p w14:paraId="233355BD" w:rsidR="00BC73DB" w:rsidRPr="00BC73DB" w:rsidRDefault="00BC73DB" w:rsidP="00BC73DB">
            <w:pPr>
              <w:rPr>
                <w:rFonts w:cs="Arial"/>
                <w:bCs/>
              </w:rPr>
            </w:pPr>
            <w:r w:rsidRPr="00BC73DB">
              <w:rPr>
                <w:rFonts w:cs="Arial"/>
                <w:bCs/>
              </w:rPr>
              <w:t>UNDP staff members on CA or FTA contracts</w:t>
            </w:r>
          </w:p>
        </w:tc>
      </w:tr>
      <w:tr w14:paraId="324A2A7B" w:rsidR="00BC73DB" w:rsidTr="00705FA4">
        <w:tc>
          <w:tcPr>
            <w:tcW w:w="3330" w:type="dxa"/>
          </w:tcPr>
          <w:p w14:paraId="482C3531" w:rsidR="00BC73DB" w:rsidRPr="00BC73DB" w:rsidRDefault="00BC73DB" w:rsidP="00BC73DB">
            <w:pPr>
              <w:rPr>
                <w:rFonts w:cs="Arial"/>
                <w:bCs/>
              </w:rPr>
            </w:pPr>
            <w:r w:rsidRPr="00BC73DB">
              <w:rPr>
                <w:rFonts w:cs="Arial"/>
                <w:bCs/>
              </w:rPr>
              <w:t>Minor equipment purchases not exceeding 10% of total annual Facility expenditures</w:t>
            </w:r>
          </w:p>
        </w:tc>
        <w:tc>
          <w:tcPr>
            <w:tcW w:w="3150" w:type="dxa"/>
          </w:tcPr>
          <w:p w14:paraId="76575BDF" w:rsidR="00BC73DB" w:rsidRPr="00BC73DB" w:rsidRDefault="00BC73DB" w:rsidP="00BC73DB">
            <w:pPr>
              <w:rPr>
                <w:rFonts w:cs="Arial"/>
                <w:bCs/>
              </w:rPr>
            </w:pPr>
            <w:r w:rsidRPr="00BC73DB">
              <w:rPr>
                <w:rFonts w:cs="Arial"/>
                <w:bCs/>
              </w:rPr>
              <w:t>Equipment purchases over 10% of total annual Engagement Facility expenditures</w:t>
            </w:r>
          </w:p>
        </w:tc>
      </w:tr>
      <w:tr w14:paraId="63B48490" w:rsidR="00BC73DB" w:rsidTr="00705FA4">
        <w:tc>
          <w:tcPr>
            <w:tcW w:w="3330" w:type="dxa"/>
          </w:tcPr>
          <w:p w14:paraId="73B936D5" w:rsidR="00BC73DB" w:rsidRPr="00BC73DB" w:rsidRDefault="00BC73DB" w:rsidP="00BC73DB">
            <w:pPr>
              <w:rPr>
                <w:rFonts w:cs="Arial"/>
                <w:bCs/>
              </w:rPr>
            </w:pPr>
            <w:r w:rsidRPr="00BC73DB">
              <w:rPr>
                <w:rFonts w:cs="Arial"/>
                <w:bCs/>
              </w:rPr>
              <w:t>Publications</w:t>
            </w:r>
          </w:p>
        </w:tc>
        <w:tc>
          <w:tcPr>
            <w:tcW w:w="3150" w:type="dxa"/>
          </w:tcPr>
          <w:p w14:paraId="527DA993" w:rsidR="00BC73DB" w:rsidRPr="00BC73DB" w:rsidRDefault="00BC73DB" w:rsidP="00BC73DB">
            <w:pPr>
              <w:rPr>
                <w:rFonts w:cs="Arial"/>
                <w:bCs/>
              </w:rPr>
            </w:pPr>
            <w:r w:rsidRPr="00BC73DB">
              <w:rPr>
                <w:rFonts w:cs="Arial"/>
                <w:bCs/>
              </w:rPr>
              <w:t>Infrastructure</w:t>
            </w:r>
          </w:p>
        </w:tc>
      </w:tr>
      <w:tr w14:paraId="661DD523" w:rsidR="00BC73DB" w:rsidTr="00705FA4">
        <w:tc>
          <w:tcPr>
            <w:tcW w:w="3330" w:type="dxa"/>
          </w:tcPr>
          <w:p w14:paraId="5954F6DE" w:rsidR="00BC73DB" w:rsidRPr="00BC73DB" w:rsidRDefault="00BC73DB" w:rsidP="00BC73DB">
            <w:pPr>
              <w:rPr>
                <w:rFonts w:cs="Arial"/>
                <w:bCs/>
              </w:rPr>
            </w:pPr>
            <w:r w:rsidRPr="00BC73DB">
              <w:rPr>
                <w:rFonts w:cs="Arial"/>
                <w:bCs/>
              </w:rPr>
              <w:t>Workshops, conferences, learning events</w:t>
            </w:r>
          </w:p>
        </w:tc>
        <w:tc>
          <w:tcPr>
            <w:tcW w:w="3150" w:type="dxa"/>
          </w:tcPr>
          <w:p w14:paraId="78D235B1" w:rsidR="00BC73DB" w:rsidRDefault="00BC73DB" w:rsidP="00CF7D0A">
            <w:pPr>
              <w:jc w:val="both"/>
            </w:pPr>
          </w:p>
        </w:tc>
      </w:tr>
      <w:tr w14:paraId="5B3D0BCF" w:rsidR="00BC73DB" w:rsidTr="0068432C">
        <w:trPr>
          <w:trHeight w:val="70"/>
        </w:trPr>
        <w:tc>
          <w:tcPr>
            <w:tcW w:w="3330" w:type="dxa"/>
          </w:tcPr>
          <w:p w14:paraId="2517DAF2" w:rsidR="00BC73DB" w:rsidRPr="00BC73DB" w:rsidRDefault="00BC73DB" w:rsidP="00BC73DB">
            <w:pPr>
              <w:rPr>
                <w:rFonts w:cs="Arial"/>
                <w:bCs/>
              </w:rPr>
            </w:pPr>
            <w:r w:rsidRPr="00BC73DB">
              <w:rPr>
                <w:rFonts w:cs="Arial"/>
                <w:bCs/>
              </w:rPr>
              <w:t>South-South and/or Triangular Cooperation</w:t>
            </w:r>
          </w:p>
        </w:tc>
        <w:tc>
          <w:tcPr>
            <w:tcW w:w="3150" w:type="dxa"/>
          </w:tcPr>
          <w:p w14:paraId="1ACB2455" w:rsidR="00BC73DB" w:rsidRDefault="00BC73DB" w:rsidP="00CF7D0A">
            <w:pPr>
              <w:jc w:val="both"/>
            </w:pPr>
          </w:p>
        </w:tc>
      </w:tr>
    </w:tbl>
    <w:p w14:paraId="061B9BDD" w:rsidR="00705FA4" w:rsidRDefault="00705FA4" w:rsidP="00CF7D0A">
      <w:pPr>
        <w:spacing w:after="0" w:line="240" w:lineRule="auto"/>
        <w:jc w:val="both"/>
      </w:pPr>
    </w:p>
    <w:p w14:paraId="1F680F2C" w:rsidR="00C01DA8" w:rsidRDefault="00A5199D" w:rsidP="00367101">
      <w:pPr>
        <w:spacing w:after="0" w:line="240" w:lineRule="auto"/>
        <w:jc w:val="both"/>
      </w:pPr>
      <w:r>
        <w:t xml:space="preserve">It </w:t>
      </w:r>
      <w:r w:rsidR="00F27164">
        <w:t>is worth noting</w:t>
      </w:r>
      <w:r>
        <w:t xml:space="preserve"> that there is a tradeoff between increased flexibility and </w:t>
      </w:r>
      <w:r w:rsidR="008E52CF">
        <w:t xml:space="preserve">coherence. The Engagement Facility </w:t>
      </w:r>
      <w:r w:rsidR="000935D2">
        <w:t>can</w:t>
      </w:r>
      <w:r w:rsidR="008E52CF">
        <w:t xml:space="preserve">not be used as a </w:t>
      </w:r>
      <w:r w:rsidR="000935D2">
        <w:t>“</w:t>
      </w:r>
      <w:r w:rsidR="008E52CF">
        <w:t>slush fund</w:t>
      </w:r>
      <w:r w:rsidR="000935D2">
        <w:t>”</w:t>
      </w:r>
      <w:r w:rsidR="008E52CF">
        <w:t xml:space="preserve"> – its intention is to contribute to upstream policy results and innovation testing.</w:t>
      </w:r>
      <w:r w:rsidR="00073666">
        <w:t xml:space="preserve"> The flexibility allowed in this modality means that it is the responsibility of CO management to use the facility strategically, for the achievement of </w:t>
      </w:r>
      <w:r w:rsidR="00F27164">
        <w:t xml:space="preserve">development results agreed with </w:t>
      </w:r>
      <w:r w:rsidR="00F27164">
        <w:lastRenderedPageBreak/>
        <w:t>the government under the overall country programme umbrella.</w:t>
      </w:r>
      <w:r w:rsidR="00322EDE">
        <w:t xml:space="preserve"> The actual use of the facility should be monitored periodically to ensure that it is being used for its intended purpose, and that its results are being recorded in the ROAR and other </w:t>
      </w:r>
      <w:r w:rsidR="000935D2">
        <w:t>corporate</w:t>
      </w:r>
      <w:r w:rsidR="00322EDE">
        <w:t xml:space="preserve"> exercises.</w:t>
      </w:r>
    </w:p>
    <w:p w14:paraId="3E48DE03" w:rsidR="00A5199D" w:rsidRDefault="00A5199D" w:rsidP="00367101">
      <w:pPr>
        <w:spacing w:after="0" w:line="240" w:lineRule="auto"/>
        <w:jc w:val="both"/>
      </w:pPr>
    </w:p>
    <w:p w14:paraId="34DDBAF6" w:rsidR="00322EDE" w:rsidRDefault="00322EDE" w:rsidP="00367101">
      <w:pPr>
        <w:spacing w:after="0" w:line="240" w:lineRule="auto"/>
        <w:jc w:val="both"/>
      </w:pPr>
    </w:p>
    <w:p w14:paraId="6573A02A" w:rsidR="006B45B2" w:rsidRPr="00BD05C5" w:rsidRDefault="006B45B2" w:rsidP="00BD05C5">
      <w:pPr>
        <w:pStyle w:val="ListParagraph"/>
        <w:numPr>
          <w:ilvl w:val="0"/>
          <w:numId w:val="7"/>
        </w:numPr>
        <w:spacing w:after="0" w:line="240" w:lineRule="auto"/>
        <w:jc w:val="both"/>
        <w:rPr>
          <w:b/>
          <w:color w:val="548DD4" w:themeColor="text2" w:themeTint="99"/>
        </w:rPr>
      </w:pPr>
      <w:r w:rsidRPr="00BD05C5">
        <w:rPr>
          <w:b/>
          <w:color w:val="548DD4" w:themeColor="text2" w:themeTint="99"/>
        </w:rPr>
        <w:t>Procedures for the Engagement Facility</w:t>
      </w:r>
    </w:p>
    <w:p w14:paraId="141B4772" w:rsidR="006B45B2" w:rsidRDefault="006B45B2" w:rsidP="00367101">
      <w:pPr>
        <w:spacing w:after="0" w:line="240" w:lineRule="auto"/>
        <w:jc w:val="both"/>
      </w:pPr>
    </w:p>
    <w:p w14:paraId="41E60ACB" w:rsidR="006B45B2" w:rsidRDefault="004E6D2D" w:rsidP="00367101">
      <w:pPr>
        <w:spacing w:after="0" w:line="240" w:lineRule="auto"/>
        <w:jc w:val="both"/>
      </w:pPr>
      <w:r>
        <w:t>The associated procedures for the proposed Engagement Facility are as follows:</w:t>
      </w:r>
    </w:p>
    <w:p w14:paraId="3B300B7C" w:rsidR="004E6D2D" w:rsidRDefault="004E6D2D" w:rsidP="00367101">
      <w:pPr>
        <w:spacing w:after="0" w:line="240" w:lineRule="auto"/>
        <w:jc w:val="both"/>
      </w:pPr>
    </w:p>
    <w:p w14:paraId="43E61854" w:rsidR="00FB00E7" w:rsidRDefault="00FB00E7" w:rsidP="00FB00E7">
      <w:pPr>
        <w:pStyle w:val="ListParagraph"/>
        <w:numPr>
          <w:ilvl w:val="0"/>
          <w:numId w:val="6"/>
        </w:numPr>
        <w:spacing w:after="0" w:line="240" w:lineRule="auto"/>
        <w:jc w:val="both"/>
      </w:pPr>
      <w:r>
        <w:t>One Engagement Facility project ID will be set up by the country office. This ID will remain open as long as the Engagement Facili</w:t>
      </w:r>
      <w:r w:rsidR="00A17551">
        <w:t>ty is used in the business unit.</w:t>
      </w:r>
      <w:r w:rsidR="009970B4">
        <w:t xml:space="preserve"> The Engagement Facility will </w:t>
      </w:r>
      <w:r w:rsidR="00A46ABD">
        <w:t xml:space="preserve">automatically </w:t>
      </w:r>
      <w:r w:rsidR="009970B4">
        <w:t>be implemented by UNDP</w:t>
      </w:r>
      <w:r w:rsidR="000536F8">
        <w:rPr>
          <w:rStyle w:val="FootnoteReference"/>
        </w:rPr>
        <w:footnoteReference w:id="3"/>
      </w:r>
      <w:r w:rsidR="009970B4">
        <w:t>.</w:t>
      </w:r>
    </w:p>
    <w:p w14:paraId="7B082EA6" w:rsidR="008A6EF9" w:rsidRDefault="008A6EF9" w:rsidP="008A6EF9">
      <w:pPr>
        <w:pStyle w:val="ListParagraph"/>
        <w:numPr>
          <w:ilvl w:val="0"/>
          <w:numId w:val="6"/>
        </w:numPr>
        <w:spacing w:after="0" w:line="240" w:lineRule="auto"/>
        <w:jc w:val="both"/>
      </w:pPr>
      <w:r>
        <w:t>TORs (for hiring personnel) and concept notes (for knowledge products, workshops, innovation initiatives, etc.) will be the documentation required to justify and detail the expected results of activities funded by the Engagement Facility.</w:t>
      </w:r>
      <w:r>
        <w:rPr>
          <w:rStyle w:val="FootnoteReference"/>
        </w:rPr>
        <w:footnoteReference w:id="4"/>
      </w:r>
    </w:p>
    <w:p w14:paraId="3252AA2B" w:rsidR="00676353" w:rsidRDefault="001F5FC1" w:rsidP="00FB00E7">
      <w:pPr>
        <w:pStyle w:val="ListParagraph"/>
        <w:numPr>
          <w:ilvl w:val="0"/>
          <w:numId w:val="6"/>
        </w:numPr>
        <w:spacing w:after="0" w:line="240" w:lineRule="auto"/>
        <w:jc w:val="both"/>
      </w:pPr>
      <w:r>
        <w:t>An</w:t>
      </w:r>
      <w:r w:rsidR="00676353">
        <w:t xml:space="preserve"> Annual Work Plan will be </w:t>
      </w:r>
      <w:r>
        <w:t>maintained</w:t>
      </w:r>
      <w:r w:rsidR="0067025A">
        <w:t xml:space="preserve"> for the Engagement Facility</w:t>
      </w:r>
      <w:r w:rsidR="00676353">
        <w:t>. A</w:t>
      </w:r>
      <w:r w:rsidR="003C7257">
        <w:t>ny</w:t>
      </w:r>
      <w:r w:rsidR="00676353">
        <w:t xml:space="preserve"> new activity to be funded through the facility will to be included in the AWP and signed by the</w:t>
      </w:r>
      <w:r w:rsidR="004C114E">
        <w:t xml:space="preserve"> Resident Representative or Country Director</w:t>
      </w:r>
      <w:r>
        <w:t xml:space="preserve"> in order for resources to be committed for that activity</w:t>
      </w:r>
      <w:r w:rsidR="004C114E">
        <w:t>.</w:t>
      </w:r>
    </w:p>
    <w:p w14:paraId="116C0640" w:rsidR="00AF6750" w:rsidRDefault="00AF6750" w:rsidP="00FB00E7">
      <w:pPr>
        <w:pStyle w:val="ListParagraph"/>
        <w:numPr>
          <w:ilvl w:val="0"/>
          <w:numId w:val="6"/>
        </w:numPr>
        <w:spacing w:after="0" w:line="240" w:lineRule="auto"/>
        <w:jc w:val="both"/>
      </w:pPr>
      <w:r>
        <w:t xml:space="preserve">One UNDP staff member should be assigned to the quality assurance function for the Engagement Facility. </w:t>
      </w:r>
    </w:p>
    <w:p w14:paraId="70561E68" w:rsidR="0067025A" w:rsidRDefault="0067025A" w:rsidP="00FB00E7">
      <w:pPr>
        <w:pStyle w:val="ListParagraph"/>
        <w:numPr>
          <w:ilvl w:val="0"/>
          <w:numId w:val="6"/>
        </w:numPr>
        <w:spacing w:after="0" w:line="240" w:lineRule="auto"/>
        <w:jc w:val="both"/>
      </w:pPr>
      <w:r>
        <w:t xml:space="preserve">Each activity funded by the Engagement Facility should be demand driven. </w:t>
      </w:r>
    </w:p>
    <w:p w14:paraId="6A4FF4E4" w:rsidR="004E6D2D" w:rsidRDefault="00DA14AC" w:rsidP="004E6D2D">
      <w:pPr>
        <w:pStyle w:val="ListParagraph"/>
        <w:numPr>
          <w:ilvl w:val="0"/>
          <w:numId w:val="6"/>
        </w:numPr>
        <w:spacing w:after="0" w:line="240" w:lineRule="auto"/>
        <w:jc w:val="both"/>
      </w:pPr>
      <w:r>
        <w:t xml:space="preserve">Funds allocated to the Engagement Facility </w:t>
      </w:r>
      <w:r w:rsidR="00922EC7">
        <w:t>through an Annual Spending Limit (ASL) will continue to be recorded by fund code 04400 (as with the current DSS facility) a</w:t>
      </w:r>
      <w:r w:rsidR="004F2FC4">
        <w:t>nd other resources will be recorded by fund code 11999 (as with the current DAS facility)</w:t>
      </w:r>
      <w:r w:rsidR="004B6CE4">
        <w:t>. Contributions a</w:t>
      </w:r>
      <w:r w:rsidR="00FB00E7">
        <w:t>pplied to fund 11999 will continue to be applied through the accounts receivable module in Atlas and GMS charges will apply as per the cost recovery policy.</w:t>
      </w:r>
    </w:p>
    <w:p w14:paraId="5DED12D2" w:rsidR="0017196B" w:rsidRDefault="0017196B" w:rsidP="0017196B">
      <w:pPr>
        <w:pStyle w:val="ListParagraph"/>
        <w:numPr>
          <w:ilvl w:val="0"/>
          <w:numId w:val="6"/>
        </w:numPr>
        <w:spacing w:after="0" w:line="240" w:lineRule="auto"/>
        <w:jc w:val="both"/>
      </w:pPr>
      <w:r>
        <w:t>COs will continue to report on activities and results achieved throu</w:t>
      </w:r>
      <w:r w:rsidR="003C7257">
        <w:t>gh the ROAR</w:t>
      </w:r>
      <w:r>
        <w:t xml:space="preserve"> </w:t>
      </w:r>
      <w:r w:rsidR="003C7257">
        <w:t>(</w:t>
      </w:r>
      <w:r>
        <w:t>as is the current practice with DAS and DSS</w:t>
      </w:r>
      <w:r w:rsidR="003C7257">
        <w:t>)</w:t>
      </w:r>
      <w:r>
        <w:t>. It will be covered under the Management Audit of Country Offices.</w:t>
      </w:r>
    </w:p>
    <w:p w14:paraId="4D4C7524" w:rsidR="00E90E0E" w:rsidRDefault="00E90E0E" w:rsidP="0017196B">
      <w:pPr>
        <w:pStyle w:val="ListParagraph"/>
        <w:numPr>
          <w:ilvl w:val="0"/>
          <w:numId w:val="6"/>
        </w:numPr>
        <w:spacing w:after="0" w:line="240" w:lineRule="auto"/>
        <w:jc w:val="both"/>
      </w:pPr>
      <w:r>
        <w:t>The Engagement Facility will be covered in the Country Office management audit and, if the volume of expenditure so qualifies, it will also be covered by the DIM audit.</w:t>
      </w:r>
    </w:p>
    <w:p w14:paraId="35C44A62" w:rsidR="003C7257" w:rsidRDefault="003C7257" w:rsidP="003C7257">
      <w:pPr>
        <w:spacing w:after="0" w:line="240" w:lineRule="auto"/>
        <w:jc w:val="both"/>
      </w:pPr>
    </w:p>
    <w:p w14:paraId="52579371" w:rsidR="00990604" w:rsidRDefault="0017196B" w:rsidP="0017196B">
      <w:pPr>
        <w:spacing w:after="0" w:line="240" w:lineRule="auto"/>
        <w:jc w:val="both"/>
      </w:pPr>
      <w:r>
        <w:t xml:space="preserve">The new Engagement Facility </w:t>
      </w:r>
      <w:r w:rsidR="00120BAC">
        <w:t>is</w:t>
      </w:r>
      <w:r>
        <w:t xml:space="preserve"> brought into the PPM to make clear that it is a programming option open to managers to achieve policy results.</w:t>
      </w:r>
      <w:r w:rsidR="00034743">
        <w:t xml:space="preserve"> </w:t>
      </w:r>
    </w:p>
    <w:p w14:paraId="273B4D96" w:rsidR="00E307F2" w:rsidRPr="0017196B" w:rsidRDefault="00E307F2" w:rsidP="0017196B">
      <w:pPr>
        <w:spacing w:after="0" w:line="240" w:lineRule="auto"/>
        <w:jc w:val="both"/>
      </w:pPr>
    </w:p>
    <w:p w14:paraId="28BE1D48" w:rsidR="00D121DF" w:rsidRPr="00FC6319" w:rsidRDefault="00D121DF" w:rsidP="00E307F2">
      <w:pPr>
        <w:spacing w:after="0"/>
      </w:pPr>
      <w:r w:rsidRPr="00FC6319">
        <w:br w:type="page"/>
      </w:r>
    </w:p>
    <w:p w14:paraId="14A7C600" w:rsidR="00D121DF" w:rsidRDefault="003A216F" w:rsidP="00C25653">
      <w:pPr>
        <w:spacing w:after="0" w:line="240" w:lineRule="auto"/>
        <w:rPr>
          <w:b/>
        </w:rPr>
      </w:pPr>
      <w:r>
        <w:rPr>
          <w:b/>
        </w:rPr>
        <w:lastRenderedPageBreak/>
        <w:t>Annex 1: Existing Mechanisms for Upstream Policy Work</w:t>
      </w:r>
    </w:p>
    <w:p w14:paraId="766050B3" w:rsidR="003A216F" w:rsidRDefault="003A216F" w:rsidP="00C25653">
      <w:pPr>
        <w:spacing w:after="0" w:line="240" w:lineRule="auto"/>
        <w:rPr>
          <w:b/>
        </w:rPr>
      </w:pPr>
    </w:p>
    <w:tbl>
      <w:tblPr>
        <w:tblStyle w:val="TableGrid"/>
        <w:tblW w:w="9738" w:type="dxa"/>
        <w:tblLayout w:type="fixed"/>
        <w:tblLook w:val="04A0" w:firstRow="1" w:lastRow="0" w:firstColumn="1" w:lastColumn="0" w:noHBand="0" w:noVBand="1"/>
      </w:tblPr>
      <w:tblGrid>
        <w:gridCol w:w="1458"/>
        <w:gridCol w:w="1382"/>
        <w:gridCol w:w="1498"/>
        <w:gridCol w:w="1350"/>
        <w:gridCol w:w="2070"/>
        <w:gridCol w:w="1980"/>
      </w:tblGrid>
      <w:tr w14:paraId="1A92A0B3" w:rsidR="003A216F" w:rsidTr="00BC73DB">
        <w:tc>
          <w:tcPr>
            <w:tcW w:w="1458" w:type="dxa"/>
          </w:tcPr>
          <w:p w14:paraId="4328945E" w:rsidR="003A216F" w:rsidRPr="002370EF" w:rsidRDefault="003A216F" w:rsidP="00BC73DB">
            <w:pPr>
              <w:rPr>
                <w:b/>
              </w:rPr>
            </w:pPr>
            <w:r w:rsidRPr="002370EF">
              <w:rPr>
                <w:b/>
              </w:rPr>
              <w:t>Mechanism</w:t>
            </w:r>
          </w:p>
        </w:tc>
        <w:tc>
          <w:tcPr>
            <w:tcW w:w="1382" w:type="dxa"/>
          </w:tcPr>
          <w:p w14:paraId="1CCDEE66" w:rsidR="003A216F" w:rsidRPr="001165CA" w:rsidRDefault="003A216F" w:rsidP="00BC73DB">
            <w:pPr>
              <w:rPr>
                <w:b/>
              </w:rPr>
            </w:pPr>
            <w:r>
              <w:rPr>
                <w:b/>
              </w:rPr>
              <w:t>Purpose</w:t>
            </w:r>
          </w:p>
        </w:tc>
        <w:tc>
          <w:tcPr>
            <w:tcW w:w="1498" w:type="dxa"/>
          </w:tcPr>
          <w:p w14:paraId="112BB4E6" w:rsidR="003A216F" w:rsidRPr="001165CA" w:rsidRDefault="003A216F" w:rsidP="00BC73DB">
            <w:pPr>
              <w:rPr>
                <w:b/>
              </w:rPr>
            </w:pPr>
            <w:r w:rsidRPr="001165CA">
              <w:rPr>
                <w:b/>
              </w:rPr>
              <w:t>Contents</w:t>
            </w:r>
          </w:p>
        </w:tc>
        <w:tc>
          <w:tcPr>
            <w:tcW w:w="1350" w:type="dxa"/>
          </w:tcPr>
          <w:p w14:paraId="49A418CB" w:rsidR="003A216F" w:rsidRPr="001165CA" w:rsidRDefault="003A216F" w:rsidP="00BC73DB">
            <w:pPr>
              <w:rPr>
                <w:b/>
              </w:rPr>
            </w:pPr>
            <w:proofErr w:type="spellStart"/>
            <w:r w:rsidRPr="001165CA">
              <w:rPr>
                <w:b/>
              </w:rPr>
              <w:t>Impl</w:t>
            </w:r>
            <w:proofErr w:type="spellEnd"/>
            <w:r>
              <w:rPr>
                <w:b/>
              </w:rPr>
              <w:t>.</w:t>
            </w:r>
            <w:r w:rsidRPr="001165CA">
              <w:rPr>
                <w:b/>
              </w:rPr>
              <w:t xml:space="preserve"> Partner</w:t>
            </w:r>
          </w:p>
        </w:tc>
        <w:tc>
          <w:tcPr>
            <w:tcW w:w="2070" w:type="dxa"/>
          </w:tcPr>
          <w:p w14:paraId="5A474294" w:rsidR="003A216F" w:rsidRPr="001165CA" w:rsidRDefault="003A216F" w:rsidP="00BC73DB">
            <w:pPr>
              <w:rPr>
                <w:b/>
              </w:rPr>
            </w:pPr>
            <w:r>
              <w:rPr>
                <w:b/>
              </w:rPr>
              <w:t>Requirements/ Transaction Costs</w:t>
            </w:r>
          </w:p>
        </w:tc>
        <w:tc>
          <w:tcPr>
            <w:tcW w:w="1980" w:type="dxa"/>
          </w:tcPr>
          <w:p w14:paraId="5242F922" w:rsidR="003A216F" w:rsidRPr="001165CA" w:rsidRDefault="003A216F" w:rsidP="00BC73DB">
            <w:pPr>
              <w:rPr>
                <w:b/>
              </w:rPr>
            </w:pPr>
            <w:r>
              <w:rPr>
                <w:b/>
              </w:rPr>
              <w:t xml:space="preserve">Restrictions </w:t>
            </w:r>
          </w:p>
        </w:tc>
      </w:tr>
      <w:tr w14:paraId="77E04A29" w:rsidR="003A216F" w:rsidRPr="00EC7B8F" w:rsidTr="00BC73DB">
        <w:tc>
          <w:tcPr>
            <w:tcW w:w="1458" w:type="dxa"/>
          </w:tcPr>
          <w:p w14:paraId="5AD8D306" w:rsidR="003A216F" w:rsidRPr="004B0F61" w:rsidRDefault="003A216F" w:rsidP="00BC73DB">
            <w:pPr>
              <w:rPr>
                <w:b/>
                <w:sz w:val="20"/>
                <w:szCs w:val="20"/>
              </w:rPr>
            </w:pPr>
            <w:r w:rsidRPr="004B0F61">
              <w:rPr>
                <w:b/>
                <w:sz w:val="20"/>
                <w:szCs w:val="20"/>
              </w:rPr>
              <w:t>Project Document</w:t>
            </w:r>
          </w:p>
        </w:tc>
        <w:tc>
          <w:tcPr>
            <w:tcW w:w="1382" w:type="dxa"/>
          </w:tcPr>
          <w:p w14:paraId="44A5DF79" w:rsidR="003A216F" w:rsidRPr="004B0F61" w:rsidRDefault="003A216F" w:rsidP="00BC73DB">
            <w:pPr>
              <w:rPr>
                <w:sz w:val="19"/>
                <w:szCs w:val="19"/>
              </w:rPr>
            </w:pPr>
            <w:r w:rsidRPr="004B0F61">
              <w:rPr>
                <w:sz w:val="19"/>
                <w:szCs w:val="19"/>
              </w:rPr>
              <w:t>Most common programming mechanism to operationalize programme results. Can be used for upstream policy work, and just about anything else UNDP is allowed to do.</w:t>
            </w:r>
          </w:p>
        </w:tc>
        <w:tc>
          <w:tcPr>
            <w:tcW w:w="1498" w:type="dxa"/>
          </w:tcPr>
          <w:p w14:paraId="65289E2E" w:rsidR="003A216F" w:rsidRPr="004B0F61" w:rsidRDefault="003A216F" w:rsidP="00BC73DB">
            <w:pPr>
              <w:rPr>
                <w:sz w:val="19"/>
                <w:szCs w:val="19"/>
              </w:rPr>
            </w:pPr>
            <w:r w:rsidRPr="004B0F61">
              <w:rPr>
                <w:sz w:val="19"/>
                <w:szCs w:val="19"/>
              </w:rPr>
              <w:t>- Cover page</w:t>
            </w:r>
          </w:p>
          <w:p w14:paraId="4161020A" w:rsidR="003A216F" w:rsidRPr="004B0F61" w:rsidRDefault="003A216F" w:rsidP="00BC73DB">
            <w:pPr>
              <w:rPr>
                <w:sz w:val="19"/>
                <w:szCs w:val="19"/>
              </w:rPr>
            </w:pPr>
            <w:r w:rsidRPr="004B0F61">
              <w:rPr>
                <w:sz w:val="19"/>
                <w:szCs w:val="19"/>
              </w:rPr>
              <w:t>- RRF &amp;/or AWP</w:t>
            </w:r>
          </w:p>
          <w:p w14:paraId="341E237E" w:rsidR="003A216F" w:rsidRPr="004B0F61" w:rsidRDefault="003A216F" w:rsidP="00BC73DB">
            <w:pPr>
              <w:rPr>
                <w:sz w:val="19"/>
                <w:szCs w:val="19"/>
              </w:rPr>
            </w:pPr>
            <w:r w:rsidRPr="004B0F61">
              <w:rPr>
                <w:sz w:val="19"/>
                <w:szCs w:val="19"/>
              </w:rPr>
              <w:t>- Management Arrangements</w:t>
            </w:r>
          </w:p>
          <w:p w14:paraId="3F53DD7F" w:rsidR="003A216F" w:rsidRPr="004B0F61" w:rsidRDefault="003A216F" w:rsidP="00BC73DB">
            <w:pPr>
              <w:rPr>
                <w:sz w:val="19"/>
                <w:szCs w:val="19"/>
              </w:rPr>
            </w:pPr>
            <w:r w:rsidRPr="004B0F61">
              <w:rPr>
                <w:sz w:val="19"/>
                <w:szCs w:val="19"/>
              </w:rPr>
              <w:t>- Risk Log</w:t>
            </w:r>
          </w:p>
          <w:p w14:paraId="79B83EF0" w:rsidR="003A216F" w:rsidRPr="004B0F61" w:rsidRDefault="003A216F" w:rsidP="00BC73DB">
            <w:pPr>
              <w:rPr>
                <w:sz w:val="19"/>
                <w:szCs w:val="19"/>
              </w:rPr>
            </w:pPr>
            <w:r w:rsidRPr="004B0F61">
              <w:rPr>
                <w:sz w:val="19"/>
                <w:szCs w:val="19"/>
              </w:rPr>
              <w:t>- Environmental &amp; Social Screening</w:t>
            </w:r>
          </w:p>
          <w:p w14:paraId="2791C0CC" w:rsidR="003A216F" w:rsidRPr="004B0F61" w:rsidRDefault="003A216F" w:rsidP="00BC73DB">
            <w:pPr>
              <w:rPr>
                <w:sz w:val="19"/>
                <w:szCs w:val="19"/>
              </w:rPr>
            </w:pPr>
            <w:r w:rsidRPr="004B0F61">
              <w:rPr>
                <w:sz w:val="19"/>
                <w:szCs w:val="19"/>
              </w:rPr>
              <w:t>- M&amp;E Framework</w:t>
            </w:r>
          </w:p>
          <w:p w14:paraId="398105A1" w:rsidR="003A216F" w:rsidRPr="004B0F61" w:rsidRDefault="003A216F" w:rsidP="00BC73DB">
            <w:pPr>
              <w:rPr>
                <w:sz w:val="19"/>
                <w:szCs w:val="19"/>
              </w:rPr>
            </w:pPr>
          </w:p>
          <w:p w14:paraId="5BE7D8E0" w:rsidR="003A216F" w:rsidRPr="004B0F61" w:rsidRDefault="003A216F" w:rsidP="00BC73DB">
            <w:pPr>
              <w:rPr>
                <w:sz w:val="19"/>
                <w:szCs w:val="19"/>
              </w:rPr>
            </w:pPr>
            <w:r w:rsidRPr="004B0F61">
              <w:rPr>
                <w:sz w:val="19"/>
                <w:szCs w:val="19"/>
              </w:rPr>
              <w:t>Minimum 4-6 pages</w:t>
            </w:r>
          </w:p>
        </w:tc>
        <w:tc>
          <w:tcPr>
            <w:tcW w:w="1350" w:type="dxa"/>
          </w:tcPr>
          <w:p w14:paraId="19D656BD" w:rsidR="003A216F" w:rsidRPr="004B0F61" w:rsidRDefault="003A216F" w:rsidP="00BC73DB">
            <w:pPr>
              <w:rPr>
                <w:sz w:val="19"/>
                <w:szCs w:val="19"/>
              </w:rPr>
            </w:pPr>
            <w:r w:rsidRPr="004B0F61">
              <w:rPr>
                <w:sz w:val="19"/>
                <w:szCs w:val="19"/>
              </w:rPr>
              <w:t>Preference for NIM</w:t>
            </w:r>
          </w:p>
          <w:p w14:paraId="5EAA37A1" w:rsidR="003A216F" w:rsidRPr="004B0F61" w:rsidRDefault="003A216F" w:rsidP="00BC73DB">
            <w:pPr>
              <w:rPr>
                <w:sz w:val="19"/>
                <w:szCs w:val="19"/>
              </w:rPr>
            </w:pPr>
          </w:p>
          <w:p w14:paraId="5F4D3D68" w:rsidR="003A216F" w:rsidRPr="004B0F61" w:rsidRDefault="003A216F" w:rsidP="00BC73DB">
            <w:pPr>
              <w:rPr>
                <w:sz w:val="19"/>
                <w:szCs w:val="19"/>
              </w:rPr>
            </w:pPr>
            <w:r w:rsidRPr="004B0F61">
              <w:rPr>
                <w:sz w:val="19"/>
                <w:szCs w:val="19"/>
              </w:rPr>
              <w:t>Can be DIM, CSO, INGO or UN agency with justification</w:t>
            </w:r>
          </w:p>
        </w:tc>
        <w:tc>
          <w:tcPr>
            <w:tcW w:w="2070" w:type="dxa"/>
          </w:tcPr>
          <w:p w14:paraId="3741FBD4" w:rsidR="003A216F" w:rsidRPr="004B0F61" w:rsidRDefault="003A216F" w:rsidP="00BC73DB">
            <w:pPr>
              <w:rPr>
                <w:sz w:val="19"/>
                <w:szCs w:val="19"/>
              </w:rPr>
            </w:pPr>
            <w:r w:rsidRPr="004B0F61">
              <w:rPr>
                <w:sz w:val="19"/>
                <w:szCs w:val="19"/>
              </w:rPr>
              <w:t xml:space="preserve">Appraisal process, including LPAC </w:t>
            </w:r>
          </w:p>
          <w:p w14:paraId="15D98B06" w:rsidR="003A216F" w:rsidRPr="004B0F61" w:rsidRDefault="003A216F" w:rsidP="00BC73DB">
            <w:pPr>
              <w:rPr>
                <w:sz w:val="19"/>
                <w:szCs w:val="19"/>
              </w:rPr>
            </w:pPr>
          </w:p>
          <w:p w14:paraId="64EB559F" w:rsidR="003A216F" w:rsidRPr="004B0F61" w:rsidRDefault="003A216F" w:rsidP="00BC73DB">
            <w:pPr>
              <w:rPr>
                <w:sz w:val="19"/>
                <w:szCs w:val="19"/>
              </w:rPr>
            </w:pPr>
            <w:r w:rsidRPr="004B0F61">
              <w:rPr>
                <w:sz w:val="19"/>
                <w:szCs w:val="19"/>
              </w:rPr>
              <w:t>Government signature in most cases</w:t>
            </w:r>
          </w:p>
          <w:p w14:paraId="735E6627" w:rsidR="003A216F" w:rsidRPr="004B0F61" w:rsidRDefault="003A216F" w:rsidP="00BC73DB">
            <w:pPr>
              <w:rPr>
                <w:sz w:val="19"/>
                <w:szCs w:val="19"/>
              </w:rPr>
            </w:pPr>
          </w:p>
          <w:p w14:paraId="096941F1" w:rsidR="003A216F" w:rsidRPr="004B0F61" w:rsidRDefault="003A216F" w:rsidP="00BC73DB">
            <w:pPr>
              <w:rPr>
                <w:sz w:val="19"/>
                <w:szCs w:val="19"/>
              </w:rPr>
            </w:pPr>
            <w:r w:rsidRPr="004B0F61">
              <w:rPr>
                <w:sz w:val="19"/>
                <w:szCs w:val="19"/>
              </w:rPr>
              <w:t>Capacity assessment of IP required (implementation and financial)</w:t>
            </w:r>
          </w:p>
          <w:p w14:paraId="749096C0" w:rsidR="003A216F" w:rsidRPr="004B0F61" w:rsidRDefault="003A216F" w:rsidP="00BC73DB">
            <w:pPr>
              <w:rPr>
                <w:sz w:val="19"/>
                <w:szCs w:val="19"/>
              </w:rPr>
            </w:pPr>
          </w:p>
          <w:p w14:paraId="18D15FFF" w:rsidR="003A216F" w:rsidRPr="004B0F61" w:rsidRDefault="003A216F" w:rsidP="00BC73DB">
            <w:pPr>
              <w:rPr>
                <w:sz w:val="19"/>
                <w:szCs w:val="19"/>
              </w:rPr>
            </w:pPr>
            <w:r w:rsidRPr="004B0F61">
              <w:rPr>
                <w:sz w:val="19"/>
                <w:szCs w:val="19"/>
              </w:rPr>
              <w:t>HQ approval for DIM required</w:t>
            </w:r>
          </w:p>
          <w:p w14:paraId="2390AC7C" w:rsidR="003A216F" w:rsidRPr="004B0F61" w:rsidRDefault="003A216F" w:rsidP="00BC73DB">
            <w:pPr>
              <w:rPr>
                <w:sz w:val="19"/>
                <w:szCs w:val="19"/>
              </w:rPr>
            </w:pPr>
          </w:p>
          <w:p w14:paraId="267AA240" w:rsidR="003A216F" w:rsidRPr="004B0F61" w:rsidRDefault="003A216F" w:rsidP="00BC73DB">
            <w:pPr>
              <w:rPr>
                <w:sz w:val="19"/>
                <w:szCs w:val="19"/>
              </w:rPr>
            </w:pPr>
            <w:r w:rsidRPr="004B0F61">
              <w:rPr>
                <w:sz w:val="19"/>
                <w:szCs w:val="19"/>
              </w:rPr>
              <w:t>Competitive selection for CSO, INGO imp. required</w:t>
            </w:r>
          </w:p>
          <w:p w14:paraId="3401BE39" w:rsidR="003A216F" w:rsidRPr="004B0F61" w:rsidRDefault="003A216F" w:rsidP="00BC73DB">
            <w:pPr>
              <w:rPr>
                <w:sz w:val="19"/>
                <w:szCs w:val="19"/>
              </w:rPr>
            </w:pPr>
          </w:p>
          <w:p w14:paraId="7C59BDA9" w:rsidR="003A216F" w:rsidRPr="004B0F61" w:rsidRDefault="003A216F" w:rsidP="00BC73DB">
            <w:pPr>
              <w:rPr>
                <w:sz w:val="19"/>
                <w:szCs w:val="19"/>
              </w:rPr>
            </w:pPr>
            <w:r w:rsidRPr="004B0F61">
              <w:rPr>
                <w:sz w:val="19"/>
                <w:szCs w:val="19"/>
              </w:rPr>
              <w:t>Project, donor reports required</w:t>
            </w:r>
          </w:p>
          <w:p w14:paraId="06235E55" w:rsidR="003A216F" w:rsidRPr="004B0F61" w:rsidRDefault="003A216F" w:rsidP="00BC73DB">
            <w:pPr>
              <w:rPr>
                <w:sz w:val="19"/>
                <w:szCs w:val="19"/>
              </w:rPr>
            </w:pPr>
          </w:p>
          <w:p w14:paraId="0FBB4B29" w:rsidR="003A216F" w:rsidRPr="004B0F61" w:rsidRDefault="003A216F" w:rsidP="00BC73DB">
            <w:pPr>
              <w:rPr>
                <w:sz w:val="19"/>
                <w:szCs w:val="19"/>
              </w:rPr>
            </w:pPr>
            <w:r w:rsidRPr="004B0F61">
              <w:rPr>
                <w:sz w:val="19"/>
                <w:szCs w:val="19"/>
              </w:rPr>
              <w:t>Project Reviews and Project Boards required</w:t>
            </w:r>
          </w:p>
        </w:tc>
        <w:tc>
          <w:tcPr>
            <w:tcW w:w="1980" w:type="dxa"/>
          </w:tcPr>
          <w:p w14:paraId="04D56E79" w:rsidR="003A216F" w:rsidRPr="004B0F61" w:rsidRDefault="003A216F" w:rsidP="00BC73DB">
            <w:pPr>
              <w:rPr>
                <w:sz w:val="19"/>
                <w:szCs w:val="19"/>
              </w:rPr>
            </w:pPr>
            <w:r w:rsidRPr="004B0F61">
              <w:rPr>
                <w:sz w:val="19"/>
                <w:szCs w:val="19"/>
              </w:rPr>
              <w:t>Few, as long as requirements are followed</w:t>
            </w:r>
          </w:p>
        </w:tc>
      </w:tr>
      <w:tr w14:paraId="7B2049A4" w:rsidR="003A216F" w:rsidTr="00BC73DB">
        <w:tc>
          <w:tcPr>
            <w:tcW w:w="1458" w:type="dxa"/>
          </w:tcPr>
          <w:p w14:paraId="180FCC90" w:rsidR="003A216F" w:rsidRPr="004B0F61" w:rsidRDefault="003A216F" w:rsidP="00BC73DB">
            <w:pPr>
              <w:rPr>
                <w:b/>
                <w:sz w:val="20"/>
                <w:szCs w:val="20"/>
              </w:rPr>
            </w:pPr>
            <w:r w:rsidRPr="004B0F61">
              <w:rPr>
                <w:b/>
                <w:sz w:val="20"/>
                <w:szCs w:val="20"/>
              </w:rPr>
              <w:t>Initiation Plan</w:t>
            </w:r>
          </w:p>
          <w:p w14:paraId="5447EB44" w:rsidR="003A216F" w:rsidRPr="004B0F61" w:rsidRDefault="003A216F" w:rsidP="00BC73DB">
            <w:pPr>
              <w:rPr>
                <w:sz w:val="20"/>
                <w:szCs w:val="20"/>
              </w:rPr>
            </w:pPr>
          </w:p>
          <w:p w14:paraId="4A772EA6" w:rsidR="003A216F" w:rsidRPr="004B0F61" w:rsidRDefault="003A216F" w:rsidP="00BC73DB">
            <w:pPr>
              <w:rPr>
                <w:sz w:val="20"/>
                <w:szCs w:val="20"/>
              </w:rPr>
            </w:pPr>
            <w:r w:rsidRPr="004B0F61">
              <w:rPr>
                <w:sz w:val="20"/>
                <w:szCs w:val="20"/>
              </w:rPr>
              <w:t>(Replaced Preparatory Assistance)</w:t>
            </w:r>
          </w:p>
        </w:tc>
        <w:tc>
          <w:tcPr>
            <w:tcW w:w="1382" w:type="dxa"/>
          </w:tcPr>
          <w:p w14:paraId="679EC836" w:rsidR="003A216F" w:rsidRPr="004B0F61" w:rsidRDefault="003A216F" w:rsidP="00BC73DB">
            <w:pPr>
              <w:rPr>
                <w:sz w:val="19"/>
                <w:szCs w:val="19"/>
              </w:rPr>
            </w:pPr>
            <w:r w:rsidRPr="004B0F61">
              <w:rPr>
                <w:sz w:val="19"/>
                <w:szCs w:val="19"/>
              </w:rPr>
              <w:t>Used when financial resources are needed to finalize project design or begin project activities</w:t>
            </w:r>
          </w:p>
          <w:p w14:paraId="68ED1259" w:rsidR="003A216F" w:rsidRPr="004B0F61" w:rsidRDefault="003A216F" w:rsidP="00BC73DB">
            <w:pPr>
              <w:rPr>
                <w:sz w:val="19"/>
                <w:szCs w:val="19"/>
              </w:rPr>
            </w:pPr>
          </w:p>
        </w:tc>
        <w:tc>
          <w:tcPr>
            <w:tcW w:w="1498" w:type="dxa"/>
          </w:tcPr>
          <w:p w14:paraId="4C05CE2A" w:rsidR="003A216F" w:rsidRPr="004B0F61" w:rsidRDefault="003A216F" w:rsidP="00BC73DB">
            <w:pPr>
              <w:rPr>
                <w:sz w:val="19"/>
                <w:szCs w:val="19"/>
              </w:rPr>
            </w:pPr>
            <w:r w:rsidRPr="004B0F61">
              <w:rPr>
                <w:sz w:val="19"/>
                <w:szCs w:val="19"/>
              </w:rPr>
              <w:t>- cover page</w:t>
            </w:r>
          </w:p>
          <w:p w14:paraId="202F5BA0" w:rsidR="003A216F" w:rsidRPr="004B0F61" w:rsidRDefault="003A216F" w:rsidP="00BC73DB">
            <w:pPr>
              <w:rPr>
                <w:sz w:val="19"/>
                <w:szCs w:val="19"/>
              </w:rPr>
            </w:pPr>
            <w:r w:rsidRPr="004B0F61">
              <w:rPr>
                <w:sz w:val="19"/>
                <w:szCs w:val="19"/>
              </w:rPr>
              <w:t>- activity description</w:t>
            </w:r>
          </w:p>
          <w:p w14:paraId="6DACCAB1" w:rsidR="003A216F" w:rsidRPr="004B0F61" w:rsidRDefault="003A216F" w:rsidP="00BC73DB">
            <w:pPr>
              <w:rPr>
                <w:sz w:val="19"/>
                <w:szCs w:val="19"/>
              </w:rPr>
            </w:pPr>
            <w:r w:rsidRPr="004B0F61">
              <w:rPr>
                <w:sz w:val="19"/>
                <w:szCs w:val="19"/>
              </w:rPr>
              <w:t>- management of activities</w:t>
            </w:r>
          </w:p>
          <w:p w14:paraId="2C436811" w:rsidR="003A216F" w:rsidRPr="004B0F61" w:rsidRDefault="003A216F" w:rsidP="00BC73DB">
            <w:pPr>
              <w:rPr>
                <w:sz w:val="19"/>
                <w:szCs w:val="19"/>
              </w:rPr>
            </w:pPr>
            <w:r w:rsidRPr="004B0F61">
              <w:rPr>
                <w:sz w:val="19"/>
                <w:szCs w:val="19"/>
              </w:rPr>
              <w:t>- AWP</w:t>
            </w:r>
          </w:p>
          <w:p w14:paraId="2EF51C5E" w:rsidR="003A216F" w:rsidRPr="004B0F61" w:rsidRDefault="003A216F" w:rsidP="00BC73DB">
            <w:pPr>
              <w:rPr>
                <w:sz w:val="19"/>
                <w:szCs w:val="19"/>
              </w:rPr>
            </w:pPr>
          </w:p>
          <w:p w14:paraId="3631D166" w:rsidR="003A216F" w:rsidRPr="004B0F61" w:rsidRDefault="003A216F" w:rsidP="00BC73DB">
            <w:pPr>
              <w:rPr>
                <w:sz w:val="19"/>
                <w:szCs w:val="19"/>
              </w:rPr>
            </w:pPr>
            <w:r w:rsidRPr="004B0F61">
              <w:rPr>
                <w:sz w:val="19"/>
                <w:szCs w:val="19"/>
              </w:rPr>
              <w:t>Minimum 4-6 pages</w:t>
            </w:r>
          </w:p>
          <w:p w14:paraId="1E993553" w:rsidR="003A216F" w:rsidRPr="004B0F61" w:rsidRDefault="003A216F" w:rsidP="00BC73DB">
            <w:pPr>
              <w:rPr>
                <w:sz w:val="19"/>
                <w:szCs w:val="19"/>
              </w:rPr>
            </w:pPr>
          </w:p>
        </w:tc>
        <w:tc>
          <w:tcPr>
            <w:tcW w:w="1350" w:type="dxa"/>
          </w:tcPr>
          <w:p w14:paraId="53943633" w:rsidR="003A216F" w:rsidRPr="004B0F61" w:rsidRDefault="003A216F" w:rsidP="00BC73DB">
            <w:pPr>
              <w:rPr>
                <w:sz w:val="19"/>
                <w:szCs w:val="19"/>
              </w:rPr>
            </w:pPr>
            <w:r w:rsidRPr="004B0F61">
              <w:rPr>
                <w:sz w:val="19"/>
                <w:szCs w:val="19"/>
              </w:rPr>
              <w:t>DIM by default (no HQ approval needed)</w:t>
            </w:r>
          </w:p>
        </w:tc>
        <w:tc>
          <w:tcPr>
            <w:tcW w:w="2070" w:type="dxa"/>
          </w:tcPr>
          <w:p w14:paraId="0E328996" w:rsidR="003A216F" w:rsidRPr="004B0F61" w:rsidRDefault="003A216F" w:rsidP="00BC73DB">
            <w:pPr>
              <w:rPr>
                <w:sz w:val="19"/>
                <w:szCs w:val="19"/>
              </w:rPr>
            </w:pPr>
            <w:r w:rsidRPr="004B0F61">
              <w:rPr>
                <w:sz w:val="19"/>
                <w:szCs w:val="19"/>
              </w:rPr>
              <w:t xml:space="preserve">Appraisal process, including LPAC </w:t>
            </w:r>
          </w:p>
          <w:p w14:paraId="18D68DD0" w:rsidR="003A216F" w:rsidRPr="004B0F61" w:rsidRDefault="003A216F" w:rsidP="00BC73DB">
            <w:pPr>
              <w:rPr>
                <w:sz w:val="19"/>
                <w:szCs w:val="19"/>
              </w:rPr>
            </w:pPr>
          </w:p>
        </w:tc>
        <w:tc>
          <w:tcPr>
            <w:tcW w:w="1980" w:type="dxa"/>
          </w:tcPr>
          <w:p w14:paraId="4B5374B5" w:rsidR="003A216F" w:rsidRPr="004B0F61" w:rsidRDefault="003A216F" w:rsidP="00BC73DB">
            <w:pPr>
              <w:rPr>
                <w:sz w:val="19"/>
                <w:szCs w:val="19"/>
              </w:rPr>
            </w:pPr>
            <w:r w:rsidRPr="004B0F61">
              <w:rPr>
                <w:sz w:val="19"/>
                <w:szCs w:val="19"/>
              </w:rPr>
              <w:t>May not exceed 1 year</w:t>
            </w:r>
          </w:p>
          <w:p w14:paraId="0EE7C68B" w:rsidR="003A216F" w:rsidRPr="004B0F61" w:rsidRDefault="003A216F" w:rsidP="00BC73DB">
            <w:pPr>
              <w:rPr>
                <w:sz w:val="19"/>
                <w:szCs w:val="19"/>
              </w:rPr>
            </w:pPr>
          </w:p>
          <w:p w14:paraId="35FD8E5E" w:rsidR="003A216F" w:rsidRPr="004B0F61" w:rsidRDefault="003A216F" w:rsidP="00BC73DB">
            <w:pPr>
              <w:rPr>
                <w:sz w:val="19"/>
                <w:szCs w:val="19"/>
              </w:rPr>
            </w:pPr>
            <w:r w:rsidRPr="004B0F61">
              <w:rPr>
                <w:sz w:val="19"/>
                <w:szCs w:val="19"/>
              </w:rPr>
              <w:t>Limited in scope of activities; not meant for upstream work with no project link</w:t>
            </w:r>
          </w:p>
        </w:tc>
      </w:tr>
      <w:tr w14:paraId="1713134B" w:rsidR="003A216F" w:rsidTr="00BC73DB">
        <w:tc>
          <w:tcPr>
            <w:tcW w:w="1458" w:type="dxa"/>
          </w:tcPr>
          <w:p w14:paraId="6350A4DE" w:rsidR="003A216F" w:rsidRPr="004B0F61" w:rsidRDefault="003A216F" w:rsidP="00BC73DB">
            <w:pPr>
              <w:rPr>
                <w:b/>
                <w:sz w:val="20"/>
                <w:szCs w:val="20"/>
              </w:rPr>
            </w:pPr>
            <w:r w:rsidRPr="004B0F61">
              <w:rPr>
                <w:b/>
                <w:sz w:val="20"/>
                <w:szCs w:val="20"/>
              </w:rPr>
              <w:t>Development Advisory Services (DAS)</w:t>
            </w:r>
          </w:p>
        </w:tc>
        <w:tc>
          <w:tcPr>
            <w:tcW w:w="1382" w:type="dxa"/>
          </w:tcPr>
          <w:p w14:paraId="2D4F0958" w:rsidR="003A216F" w:rsidRPr="004B0F61" w:rsidRDefault="003A216F" w:rsidP="00BC73DB">
            <w:pPr>
              <w:rPr>
                <w:sz w:val="19"/>
                <w:szCs w:val="19"/>
              </w:rPr>
            </w:pPr>
            <w:r w:rsidRPr="004B0F61">
              <w:rPr>
                <w:sz w:val="19"/>
                <w:szCs w:val="19"/>
              </w:rPr>
              <w:t>Provides a rapid response facility for upstream initiatives in UNDP’s focus areas</w:t>
            </w:r>
          </w:p>
        </w:tc>
        <w:tc>
          <w:tcPr>
            <w:tcW w:w="1498" w:type="dxa"/>
          </w:tcPr>
          <w:p w14:paraId="37E298C6" w:rsidR="003A216F" w:rsidRPr="004B0F61" w:rsidRDefault="003A216F" w:rsidP="00BC73DB">
            <w:pPr>
              <w:rPr>
                <w:sz w:val="19"/>
                <w:szCs w:val="19"/>
              </w:rPr>
            </w:pPr>
            <w:r w:rsidRPr="004B0F61">
              <w:rPr>
                <w:sz w:val="19"/>
                <w:szCs w:val="19"/>
              </w:rPr>
              <w:t>N/A</w:t>
            </w:r>
          </w:p>
          <w:p w14:paraId="1DCD4EBE" w:rsidR="003A216F" w:rsidRPr="004B0F61" w:rsidRDefault="003A216F" w:rsidP="00BC73DB">
            <w:pPr>
              <w:rPr>
                <w:sz w:val="19"/>
                <w:szCs w:val="19"/>
              </w:rPr>
            </w:pPr>
          </w:p>
          <w:p w14:paraId="403AD6DA" w:rsidR="003A216F" w:rsidRPr="004B0F61" w:rsidRDefault="003A216F" w:rsidP="00BC73DB">
            <w:pPr>
              <w:rPr>
                <w:sz w:val="19"/>
                <w:szCs w:val="19"/>
              </w:rPr>
            </w:pPr>
            <w:r w:rsidRPr="004B0F61">
              <w:rPr>
                <w:sz w:val="19"/>
                <w:szCs w:val="19"/>
              </w:rPr>
              <w:t>A TOR would be drafted for hiring experts, a brief for conducting a knowledge product or special event</w:t>
            </w:r>
          </w:p>
        </w:tc>
        <w:tc>
          <w:tcPr>
            <w:tcW w:w="1350" w:type="dxa"/>
          </w:tcPr>
          <w:p w14:paraId="65B6ABD3" w:rsidR="003A216F" w:rsidRPr="004B0F61" w:rsidRDefault="003A216F" w:rsidP="00BC73DB">
            <w:pPr>
              <w:rPr>
                <w:sz w:val="19"/>
                <w:szCs w:val="19"/>
              </w:rPr>
            </w:pPr>
            <w:r w:rsidRPr="004B0F61">
              <w:rPr>
                <w:sz w:val="19"/>
                <w:szCs w:val="19"/>
              </w:rPr>
              <w:t>DIM by default</w:t>
            </w:r>
          </w:p>
        </w:tc>
        <w:tc>
          <w:tcPr>
            <w:tcW w:w="2070" w:type="dxa"/>
          </w:tcPr>
          <w:p w14:paraId="39719923" w:rsidR="003A216F" w:rsidRPr="004B0F61" w:rsidRDefault="003A216F" w:rsidP="00BC73DB">
            <w:pPr>
              <w:rPr>
                <w:sz w:val="19"/>
                <w:szCs w:val="19"/>
              </w:rPr>
            </w:pPr>
            <w:r w:rsidRPr="004B0F61">
              <w:rPr>
                <w:sz w:val="19"/>
                <w:szCs w:val="19"/>
              </w:rPr>
              <w:t>Activities and results achieved through DSS reported in the ROAR</w:t>
            </w:r>
          </w:p>
          <w:p w14:paraId="544F9DAD" w:rsidR="003A216F" w:rsidRPr="004B0F61" w:rsidRDefault="003A216F" w:rsidP="00BC73DB">
            <w:pPr>
              <w:rPr>
                <w:sz w:val="19"/>
                <w:szCs w:val="19"/>
              </w:rPr>
            </w:pPr>
          </w:p>
          <w:p w14:paraId="345E30C6" w:rsidR="003A216F" w:rsidRPr="004B0F61" w:rsidRDefault="003A216F" w:rsidP="00BC73DB">
            <w:pPr>
              <w:rPr>
                <w:sz w:val="19"/>
                <w:szCs w:val="19"/>
              </w:rPr>
            </w:pPr>
            <w:r w:rsidRPr="004B0F61">
              <w:rPr>
                <w:sz w:val="19"/>
                <w:szCs w:val="19"/>
              </w:rPr>
              <w:t>No appraisal, RR approves budget</w:t>
            </w:r>
          </w:p>
        </w:tc>
        <w:tc>
          <w:tcPr>
            <w:tcW w:w="1980" w:type="dxa"/>
          </w:tcPr>
          <w:p w14:paraId="10A42140" w:rsidR="003A216F" w:rsidRPr="004B0F61" w:rsidRDefault="003A216F" w:rsidP="00BC73DB">
            <w:pPr>
              <w:rPr>
                <w:sz w:val="19"/>
                <w:szCs w:val="19"/>
              </w:rPr>
            </w:pPr>
            <w:r w:rsidRPr="004B0F61">
              <w:rPr>
                <w:sz w:val="19"/>
                <w:szCs w:val="19"/>
              </w:rPr>
              <w:t>Only for mobilized resources, residual balances and earned interest on cost sharing. Regular resources can’t be used.</w:t>
            </w:r>
          </w:p>
          <w:p w14:paraId="68CEE084" w:rsidR="003A216F" w:rsidRPr="004B0F61" w:rsidRDefault="003A216F" w:rsidP="00BC73DB">
            <w:pPr>
              <w:rPr>
                <w:sz w:val="19"/>
                <w:szCs w:val="19"/>
              </w:rPr>
            </w:pPr>
          </w:p>
          <w:p w14:paraId="3B3DA3B5" w:rsidR="003A216F" w:rsidRPr="004B0F61" w:rsidRDefault="003A216F" w:rsidP="00BC73DB">
            <w:pPr>
              <w:rPr>
                <w:sz w:val="19"/>
                <w:szCs w:val="19"/>
              </w:rPr>
            </w:pPr>
            <w:r w:rsidRPr="004B0F61">
              <w:rPr>
                <w:sz w:val="19"/>
                <w:szCs w:val="19"/>
              </w:rPr>
              <w:t>Once resources are recorded in DAS, they cannot be moved</w:t>
            </w:r>
          </w:p>
          <w:p w14:paraId="2462D855" w:rsidR="003A216F" w:rsidRPr="004B0F61" w:rsidRDefault="003A216F" w:rsidP="00BC73DB">
            <w:pPr>
              <w:rPr>
                <w:sz w:val="19"/>
                <w:szCs w:val="19"/>
              </w:rPr>
            </w:pPr>
          </w:p>
          <w:p w14:paraId="3A7E6F06" w:rsidR="003A216F" w:rsidRPr="004B0F61" w:rsidRDefault="003A216F" w:rsidP="00BC73DB">
            <w:pPr>
              <w:rPr>
                <w:sz w:val="19"/>
                <w:szCs w:val="19"/>
              </w:rPr>
            </w:pPr>
            <w:r w:rsidRPr="004B0F61">
              <w:rPr>
                <w:sz w:val="19"/>
                <w:szCs w:val="19"/>
              </w:rPr>
              <w:t>Can only be used for activities within UNDP’s focus areas</w:t>
            </w:r>
          </w:p>
        </w:tc>
      </w:tr>
      <w:tr w14:paraId="7E97F54B" w:rsidR="003A216F" w:rsidTr="00BC73DB">
        <w:tc>
          <w:tcPr>
            <w:tcW w:w="1458" w:type="dxa"/>
          </w:tcPr>
          <w:p w14:paraId="0F81F43C" w:rsidR="003A216F" w:rsidRPr="004B0F61" w:rsidRDefault="003A216F" w:rsidP="00BC73DB">
            <w:pPr>
              <w:rPr>
                <w:b/>
                <w:sz w:val="20"/>
                <w:szCs w:val="20"/>
              </w:rPr>
            </w:pPr>
            <w:r w:rsidRPr="004B0F61">
              <w:rPr>
                <w:b/>
                <w:sz w:val="20"/>
                <w:szCs w:val="20"/>
              </w:rPr>
              <w:t>Development Support Services (DSS)</w:t>
            </w:r>
          </w:p>
        </w:tc>
        <w:tc>
          <w:tcPr>
            <w:tcW w:w="1382" w:type="dxa"/>
          </w:tcPr>
          <w:p w14:paraId="65391A5C" w:rsidR="003A216F" w:rsidRPr="004B0F61" w:rsidRDefault="003A216F" w:rsidP="00BC73DB">
            <w:pPr>
              <w:rPr>
                <w:sz w:val="19"/>
                <w:szCs w:val="19"/>
              </w:rPr>
            </w:pPr>
            <w:r w:rsidRPr="004B0F61">
              <w:rPr>
                <w:sz w:val="19"/>
                <w:szCs w:val="19"/>
              </w:rPr>
              <w:t>Provides a rapid response facility for upstream initiatives in UNDP’s focus areas</w:t>
            </w:r>
          </w:p>
        </w:tc>
        <w:tc>
          <w:tcPr>
            <w:tcW w:w="1498" w:type="dxa"/>
          </w:tcPr>
          <w:p w14:paraId="1170AA3A" w:rsidR="003A216F" w:rsidRPr="004B0F61" w:rsidRDefault="003A216F" w:rsidP="00BC73DB">
            <w:pPr>
              <w:rPr>
                <w:sz w:val="19"/>
                <w:szCs w:val="19"/>
              </w:rPr>
            </w:pPr>
            <w:r w:rsidRPr="004B0F61">
              <w:rPr>
                <w:sz w:val="19"/>
                <w:szCs w:val="19"/>
              </w:rPr>
              <w:t>N/A</w:t>
            </w:r>
          </w:p>
          <w:p w14:paraId="32378E86" w:rsidR="003A216F" w:rsidRPr="004B0F61" w:rsidRDefault="003A216F" w:rsidP="00BC73DB">
            <w:pPr>
              <w:rPr>
                <w:sz w:val="19"/>
                <w:szCs w:val="19"/>
              </w:rPr>
            </w:pPr>
          </w:p>
          <w:p w14:paraId="75BD2547" w:rsidR="003A216F" w:rsidRPr="004B0F61" w:rsidRDefault="003A216F" w:rsidP="00BC73DB">
            <w:pPr>
              <w:rPr>
                <w:sz w:val="19"/>
                <w:szCs w:val="19"/>
              </w:rPr>
            </w:pPr>
            <w:r w:rsidRPr="004B0F61">
              <w:rPr>
                <w:sz w:val="19"/>
                <w:szCs w:val="19"/>
              </w:rPr>
              <w:t xml:space="preserve">A TOR would be drafted for hiring experts, a brief for conducting a </w:t>
            </w:r>
            <w:r w:rsidRPr="004B0F61">
              <w:rPr>
                <w:sz w:val="19"/>
                <w:szCs w:val="19"/>
              </w:rPr>
              <w:lastRenderedPageBreak/>
              <w:t>knowledge product or special event</w:t>
            </w:r>
          </w:p>
        </w:tc>
        <w:tc>
          <w:tcPr>
            <w:tcW w:w="1350" w:type="dxa"/>
          </w:tcPr>
          <w:p w14:paraId="13476F3E" w:rsidR="003A216F" w:rsidRPr="004B0F61" w:rsidRDefault="003A216F" w:rsidP="00BC73DB">
            <w:pPr>
              <w:rPr>
                <w:sz w:val="19"/>
                <w:szCs w:val="19"/>
              </w:rPr>
            </w:pPr>
            <w:r w:rsidRPr="004B0F61">
              <w:rPr>
                <w:sz w:val="19"/>
                <w:szCs w:val="19"/>
              </w:rPr>
              <w:lastRenderedPageBreak/>
              <w:t>DIM by default</w:t>
            </w:r>
          </w:p>
        </w:tc>
        <w:tc>
          <w:tcPr>
            <w:tcW w:w="2070" w:type="dxa"/>
          </w:tcPr>
          <w:p w14:paraId="1712A034" w:rsidR="003A216F" w:rsidRPr="004B0F61" w:rsidRDefault="003A216F" w:rsidP="00BC73DB">
            <w:pPr>
              <w:rPr>
                <w:sz w:val="19"/>
                <w:szCs w:val="19"/>
              </w:rPr>
            </w:pPr>
            <w:r w:rsidRPr="004B0F61">
              <w:rPr>
                <w:sz w:val="19"/>
                <w:szCs w:val="19"/>
              </w:rPr>
              <w:t>Activities and results achieved through DSS reported in the ROAR</w:t>
            </w:r>
          </w:p>
          <w:p w14:paraId="282CC054" w:rsidR="003A216F" w:rsidRPr="004B0F61" w:rsidRDefault="003A216F" w:rsidP="00BC73DB">
            <w:pPr>
              <w:rPr>
                <w:sz w:val="19"/>
                <w:szCs w:val="19"/>
              </w:rPr>
            </w:pPr>
          </w:p>
          <w:p w14:paraId="38A7ED8E" w:rsidR="003A216F" w:rsidRPr="004B0F61" w:rsidRDefault="003A216F" w:rsidP="00BC73DB">
            <w:pPr>
              <w:rPr>
                <w:sz w:val="19"/>
                <w:szCs w:val="19"/>
              </w:rPr>
            </w:pPr>
            <w:r w:rsidRPr="004B0F61">
              <w:rPr>
                <w:sz w:val="19"/>
                <w:szCs w:val="19"/>
              </w:rPr>
              <w:t>No appraisal, RR approves budget</w:t>
            </w:r>
          </w:p>
        </w:tc>
        <w:tc>
          <w:tcPr>
            <w:tcW w:w="1980" w:type="dxa"/>
          </w:tcPr>
          <w:p w14:paraId="446949C9" w:rsidR="003A216F" w:rsidRPr="004B0F61" w:rsidRDefault="003A216F" w:rsidP="00BC73DB">
            <w:pPr>
              <w:rPr>
                <w:sz w:val="19"/>
                <w:szCs w:val="19"/>
              </w:rPr>
            </w:pPr>
            <w:r w:rsidRPr="004B0F61">
              <w:rPr>
                <w:sz w:val="19"/>
                <w:szCs w:val="19"/>
              </w:rPr>
              <w:t>Small amount of regular resources allocated. No other funds can be used.</w:t>
            </w:r>
          </w:p>
          <w:p w14:paraId="5337708A" w:rsidR="003A216F" w:rsidRPr="004B0F61" w:rsidRDefault="003A216F" w:rsidP="00BC73DB">
            <w:pPr>
              <w:rPr>
                <w:sz w:val="19"/>
                <w:szCs w:val="19"/>
              </w:rPr>
            </w:pPr>
          </w:p>
          <w:p w14:paraId="55F7616D" w:rsidR="003A216F" w:rsidRPr="004B0F61" w:rsidRDefault="003A216F" w:rsidP="00BC73DB">
            <w:pPr>
              <w:rPr>
                <w:sz w:val="19"/>
                <w:szCs w:val="19"/>
              </w:rPr>
            </w:pPr>
            <w:r w:rsidRPr="004B0F61">
              <w:rPr>
                <w:sz w:val="19"/>
                <w:szCs w:val="19"/>
              </w:rPr>
              <w:lastRenderedPageBreak/>
              <w:t xml:space="preserve">Unused funds do not roll over to the next year </w:t>
            </w:r>
          </w:p>
          <w:p w14:paraId="453D29CB" w:rsidR="003A216F" w:rsidRPr="004B0F61" w:rsidRDefault="003A216F" w:rsidP="00BC73DB">
            <w:pPr>
              <w:rPr>
                <w:sz w:val="19"/>
                <w:szCs w:val="19"/>
              </w:rPr>
            </w:pPr>
            <w:r w:rsidRPr="004B0F61">
              <w:rPr>
                <w:sz w:val="19"/>
                <w:szCs w:val="19"/>
              </w:rPr>
              <w:br/>
            </w:r>
            <w:r w:rsidRPr="004B0F61">
              <w:rPr>
                <w:sz w:val="19"/>
                <w:szCs w:val="19"/>
              </w:rPr>
              <w:t>Can only be used for activities within UNDP’s focus areas</w:t>
            </w:r>
          </w:p>
        </w:tc>
      </w:tr>
    </w:tbl>
    <w:p w14:paraId="155E22E6" w:rsidR="003A216F" w:rsidRDefault="003A216F" w:rsidP="00C25653">
      <w:pPr>
        <w:spacing w:after="0" w:line="240" w:lineRule="auto"/>
        <w:rPr>
          <w:b/>
        </w:rPr>
      </w:pPr>
    </w:p>
    <w:p w14:paraId="0DA41470" w:rsidR="003A216F" w:rsidRDefault="003A216F" w:rsidP="00C25653">
      <w:pPr>
        <w:spacing w:after="0" w:line="240" w:lineRule="auto"/>
        <w:rPr>
          <w:b/>
        </w:rPr>
      </w:pPr>
    </w:p>
    <w:p w14:paraId="68AE4983" w:rsidR="003A216F" w:rsidRDefault="003A216F" w:rsidP="00C25653">
      <w:pPr>
        <w:spacing w:after="0" w:line="240" w:lineRule="auto"/>
        <w:rPr>
          <w:b/>
        </w:rPr>
      </w:pPr>
    </w:p>
    <w:p w14:paraId="6D71F71E" w:rsidR="005A1C69" w:rsidRDefault="005A1C69">
      <w:pPr>
        <w:rPr>
          <w:b/>
        </w:rPr>
      </w:pPr>
      <w:r>
        <w:rPr>
          <w:b/>
        </w:rPr>
        <w:br w:type="page"/>
      </w:r>
    </w:p>
    <w:p w14:paraId="5025CFF6" w:rsidR="003A216F" w:rsidRDefault="005A1C69" w:rsidP="00C25653">
      <w:pPr>
        <w:spacing w:after="0" w:line="240" w:lineRule="auto"/>
        <w:rPr>
          <w:b/>
        </w:rPr>
      </w:pPr>
      <w:r>
        <w:rPr>
          <w:b/>
        </w:rPr>
        <w:lastRenderedPageBreak/>
        <w:t xml:space="preserve">Annex 2: </w:t>
      </w:r>
      <w:r w:rsidR="00BD3993">
        <w:rPr>
          <w:b/>
        </w:rPr>
        <w:t>DSS and DAS</w:t>
      </w:r>
      <w:r>
        <w:rPr>
          <w:b/>
        </w:rPr>
        <w:t xml:space="preserve"> in the POPP</w:t>
      </w:r>
      <w:r w:rsidR="005B6BA5">
        <w:rPr>
          <w:b/>
        </w:rPr>
        <w:t xml:space="preserve"> (Existing</w:t>
      </w:r>
      <w:r w:rsidR="0007560E">
        <w:rPr>
          <w:b/>
        </w:rPr>
        <w:t xml:space="preserve"> – for reference only</w:t>
      </w:r>
      <w:r w:rsidR="005B6BA5">
        <w:rPr>
          <w:b/>
        </w:rPr>
        <w:t>)</w:t>
      </w:r>
    </w:p>
    <w:p w14:paraId="78A837DD" w:rsidR="005A1C69" w:rsidRDefault="005A1C69" w:rsidP="00C25653">
      <w:pPr>
        <w:spacing w:after="0" w:line="240" w:lineRule="auto"/>
        <w:rPr>
          <w:b/>
        </w:rPr>
      </w:pPr>
    </w:p>
    <w:p w14:paraId="2184C99A" w:rsidR="00BD3993" w:rsidRPr="00BD3993" w:rsidRDefault="00BD3993" w:rsidP="00BD3993">
      <w:pPr>
        <w:shd w:val="clear" w:color="auto" w:fill="FFFFFF"/>
        <w:spacing w:line="270" w:lineRule="atLeast"/>
        <w:textAlignment w:val="top"/>
        <w:rPr>
          <w:rFonts w:eastAsia="Times New Roman" w:cs="Arial"/>
          <w:b/>
          <w:bCs/>
          <w:color w:val="023971"/>
          <w:sz w:val="24"/>
          <w:szCs w:val="24"/>
        </w:rPr>
      </w:pPr>
      <w:r w:rsidRPr="00BD3993">
        <w:rPr>
          <w:rFonts w:eastAsia="Times New Roman" w:cs="Arial"/>
          <w:b/>
          <w:bCs/>
          <w:color w:val="023971"/>
          <w:sz w:val="24"/>
          <w:szCs w:val="24"/>
        </w:rPr>
        <w:t xml:space="preserve">Development Support Services DSS </w:t>
      </w:r>
    </w:p>
    <w:p w14:paraId="4DD1404C" w:rsidR="00BD3993" w:rsidRPr="00BD3993" w:rsidRDefault="00BD3993" w:rsidP="00BD3993">
      <w:pPr>
        <w:shd w:val="clear" w:color="auto" w:fill="FFFFFF"/>
        <w:spacing w:after="0" w:line="270" w:lineRule="atLeast"/>
        <w:jc w:val="center"/>
        <w:textAlignment w:val="top"/>
        <w:rPr>
          <w:rFonts w:ascii="Arial" w:eastAsia="Times New Roman" w:hAnsi="Arial" w:cs="Arial"/>
          <w:b/>
          <w:bCs/>
          <w:vanish/>
          <w:color w:val="023971"/>
          <w:sz w:val="21"/>
          <w:szCs w:val="21"/>
        </w:rPr>
      </w:pPr>
      <w:r w:rsidRPr="00BD3993">
        <w:rPr>
          <w:rFonts w:ascii="Arial" w:hAnsi="Arial" w:eastAsia="Times New Roman" w:cs="Arial"/>
          <w:b/>
          <w:bCs/>
          <w:vanish/>
          <w:color w:val="023971"/>
          <w:sz w:val="21"/>
          <w:szCs w:val="21"/>
        </w:rPr>
        <w:t> </w:t>
      </w:r>
      <w:hyperlink r:id="rId12" w:history="1">
        <w:r w:rsidRPr="00BD3993">
          <w:rPr>
            <w:rFonts w:ascii="Arial" w:hAnsi="Arial" w:eastAsia="Times New Roman" w:cs="Arial"/>
            <w:b/>
            <w:bCs/>
            <w:vanish/>
            <w:color w:val="0072BC"/>
            <w:sz w:val="21"/>
            <w:szCs w:val="21"/>
          </w:rPr>
          <w:t>Spanish</w:t>
        </w:r>
      </w:hyperlink>
      <w:r w:rsidRPr="00BD3993">
        <w:rPr>
          <w:rFonts w:ascii="Arial" w:hAnsi="Arial" w:eastAsia="Times New Roman" w:cs="Arial"/>
          <w:b/>
          <w:bCs/>
          <w:vanish/>
          <w:color w:val="023971"/>
          <w:sz w:val="21"/>
          <w:szCs w:val="21"/>
        </w:rPr>
        <w:t> </w:t>
      </w:r>
    </w:p>
    <w:p w14:paraId="602D33C9" w:rsidR="00BD3993" w:rsidRPr="00BD3993" w:rsidRDefault="00BD3993" w:rsidP="00BD3993">
      <w:pPr>
        <w:shd w:val="clear" w:color="auto" w:fill="FFFFFF"/>
        <w:spacing w:after="0" w:line="270" w:lineRule="atLeast"/>
        <w:jc w:val="right"/>
        <w:textAlignment w:val="top"/>
        <w:rPr>
          <w:rFonts w:ascii="Arial" w:eastAsia="Times New Roman" w:hAnsi="Arial" w:cs="Arial"/>
          <w:b/>
          <w:bCs/>
          <w:vanish/>
          <w:color w:val="023971"/>
          <w:sz w:val="21"/>
          <w:szCs w:val="21"/>
        </w:rPr>
      </w:pPr>
      <w:r w:rsidRPr="00BD3993">
        <w:rPr>
          <w:rFonts w:ascii="Arial" w:hAnsi="Arial" w:eastAsia="Times New Roman" w:cs="Arial"/>
          <w:b/>
          <w:bCs/>
          <w:vanish/>
          <w:color w:val="023971"/>
          <w:sz w:val="21"/>
          <w:szCs w:val="21"/>
        </w:rPr>
        <w:t>|</w:t>
      </w:r>
    </w:p>
    <w:p w14:paraId="367A9C86" w:rsidR="00BD3993" w:rsidRPr="00BD3993" w:rsidRDefault="00BD3993" w:rsidP="00BD3993">
      <w:pPr>
        <w:shd w:val="clear" w:color="auto" w:fill="FFFFFF"/>
        <w:spacing w:after="0" w:line="270" w:lineRule="atLeast"/>
        <w:jc w:val="right"/>
        <w:textAlignment w:val="top"/>
        <w:rPr>
          <w:rFonts w:ascii="Arial" w:eastAsia="Times New Roman" w:hAnsi="Arial" w:cs="Arial"/>
          <w:b/>
          <w:bCs/>
          <w:vanish/>
          <w:color w:val="023971"/>
          <w:sz w:val="21"/>
          <w:szCs w:val="21"/>
        </w:rPr>
      </w:pPr>
      <w:r w:rsidRPr="00BD3993">
        <w:rPr>
          <w:rFonts w:ascii="Arial" w:hAnsi="Arial" w:eastAsia="Times New Roman" w:cs="Arial"/>
          <w:b/>
          <w:bCs/>
          <w:vanish/>
          <w:color w:val="023971"/>
          <w:sz w:val="21"/>
          <w:szCs w:val="21"/>
        </w:rPr>
        <w:t> </w:t>
      </w:r>
      <w:hyperlink r:id="rId13" w:history="1">
        <w:r w:rsidRPr="00BD3993">
          <w:rPr>
            <w:rFonts w:ascii="Arial" w:hAnsi="Arial" w:eastAsia="Times New Roman" w:cs="Arial"/>
            <w:b/>
            <w:bCs/>
            <w:vanish/>
            <w:color w:val="0072BC"/>
            <w:sz w:val="21"/>
            <w:szCs w:val="21"/>
          </w:rPr>
          <w:t>French</w:t>
        </w:r>
      </w:hyperlink>
      <w:r w:rsidRPr="00BD3993">
        <w:rPr>
          <w:rFonts w:ascii="Arial" w:hAnsi="Arial" w:eastAsia="Times New Roman" w:cs="Arial"/>
          <w:b/>
          <w:bCs/>
          <w:vanish/>
          <w:color w:val="023971"/>
          <w:sz w:val="21"/>
          <w:szCs w:val="21"/>
        </w:rPr>
        <w:t> </w:t>
      </w:r>
    </w:p>
    <w:p w14:paraId="0A3C57CC" w:rsidR="00BD3993" w:rsidRPr="00BD3993" w:rsidRDefault="00BD3993" w:rsidP="00BD3993">
      <w:pPr>
        <w:shd w:val="clear" w:color="auto" w:fill="FFFFFF"/>
        <w:spacing w:after="0" w:line="270" w:lineRule="atLeast"/>
        <w:jc w:val="right"/>
        <w:textAlignment w:val="top"/>
        <w:rPr>
          <w:rFonts w:ascii="Arial" w:eastAsia="Times New Roman" w:hAnsi="Arial" w:cs="Arial"/>
          <w:b/>
          <w:bCs/>
          <w:vanish/>
          <w:color w:val="023971"/>
          <w:sz w:val="21"/>
          <w:szCs w:val="21"/>
        </w:rPr>
      </w:pPr>
      <w:r w:rsidRPr="00BD3993">
        <w:rPr>
          <w:rFonts w:ascii="Arial" w:hAnsi="Arial" w:eastAsia="Times New Roman" w:cs="Arial"/>
          <w:b/>
          <w:bCs/>
          <w:vanish/>
          <w:color w:val="023971"/>
          <w:sz w:val="21"/>
          <w:szCs w:val="21"/>
        </w:rPr>
        <w:t>|</w:t>
      </w:r>
    </w:p>
    <w:p w14:paraId="01E81C63" w:rsidR="00BD3993" w:rsidRPr="00BD3993" w:rsidRDefault="00BD3993" w:rsidP="00BD3993">
      <w:pPr>
        <w:shd w:val="clear" w:color="auto" w:fill="FFFFFF"/>
        <w:spacing w:after="150" w:line="270" w:lineRule="atLeast"/>
        <w:jc w:val="right"/>
        <w:textAlignment w:val="top"/>
        <w:rPr>
          <w:rFonts w:ascii="Arial" w:eastAsia="Times New Roman" w:hAnsi="Arial" w:cs="Arial"/>
          <w:b/>
          <w:bCs/>
          <w:vanish/>
          <w:color w:val="023971"/>
          <w:sz w:val="21"/>
          <w:szCs w:val="21"/>
        </w:rPr>
      </w:pPr>
      <w:r w:rsidRPr="00BD3993">
        <w:rPr>
          <w:rFonts w:ascii="Arial" w:hAnsi="Arial" w:eastAsia="Times New Roman" w:cs="Arial"/>
          <w:b/>
          <w:bCs/>
          <w:vanish/>
          <w:color w:val="023971"/>
          <w:sz w:val="21"/>
          <w:szCs w:val="21"/>
        </w:rPr>
        <w:t> </w:t>
      </w:r>
      <w:hyperlink r:id="rId14" w:history="1">
        <w:r w:rsidRPr="00BD3993">
          <w:rPr>
            <w:rFonts w:ascii="Arial" w:hAnsi="Arial" w:eastAsia="Times New Roman" w:cs="Arial"/>
            <w:b/>
            <w:bCs/>
            <w:vanish/>
            <w:color w:val="0072BC"/>
            <w:sz w:val="21"/>
            <w:szCs w:val="21"/>
          </w:rPr>
          <w:t>English</w:t>
        </w:r>
      </w:hyperlink>
      <w:r w:rsidRPr="00BD3993">
        <w:rPr>
          <w:rFonts w:ascii="Arial" w:hAnsi="Arial" w:eastAsia="Times New Roman" w:cs="Arial"/>
          <w:b/>
          <w:bCs/>
          <w:vanish/>
          <w:color w:val="023971"/>
          <w:sz w:val="21"/>
          <w:szCs w:val="21"/>
        </w:rPr>
        <w:t> </w:t>
      </w:r>
    </w:p>
    <w:p w14:paraId="2F7B7936" w:rsidR="00BD3993" w:rsidRPr="00BD3993" w:rsidRDefault="00BD3993" w:rsidP="00BD3993">
      <w:pPr>
        <w:shd w:val="clear" w:color="auto" w:fill="FFFFFF"/>
        <w:spacing w:after="0" w:line="270" w:lineRule="atLeast"/>
        <w:textAlignment w:val="top"/>
        <w:rPr>
          <w:rFonts w:ascii="Arial" w:eastAsia="Times New Roman" w:hAnsi="Arial" w:cs="Arial"/>
          <w:vanish/>
          <w:color w:val="333333"/>
          <w:sz w:val="20"/>
          <w:szCs w:val="20"/>
        </w:rPr>
      </w:pPr>
      <w:r w:rsidRPr="00BD3993">
        <w:rPr>
          <w:rFonts w:ascii="Arial" w:hAnsi="Arial" w:eastAsia="Times New Roman" w:cs="Arial"/>
          <w:vanish/>
          <w:color w:val="333333"/>
          <w:sz w:val="20"/>
          <w:szCs w:val="20"/>
        </w:rPr>
        <w:t>Page Content</w:t>
      </w:r>
    </w:p>
    <w:p w14:paraId="77B6307C" w:rsidR="00BD3993" w:rsidRPr="00BD3993" w:rsidRDefault="00BD3993" w:rsidP="00BD3993">
      <w:pPr>
        <w:shd w:val="clear" w:color="auto" w:fill="FFFFFF"/>
        <w:spacing w:after="0" w:line="270" w:lineRule="atLeast"/>
        <w:textAlignment w:val="top"/>
        <w:rPr>
          <w:rFonts w:eastAsia="Times New Roman" w:cs="Arial"/>
          <w:vanish/>
          <w:color w:val="333333"/>
          <w:sz w:val="20"/>
          <w:szCs w:val="20"/>
        </w:rPr>
      </w:pPr>
      <w:r w:rsidRPr="00BD3993">
        <w:rPr>
          <w:rFonts w:eastAsia="Times New Roman" w:cs="Arial"/>
          <w:vanish/>
          <w:color w:val="333333"/>
          <w:sz w:val="20"/>
          <w:szCs w:val="20"/>
        </w:rPr>
        <w:t>Structure Element - Description</w:t>
      </w:r>
    </w:p>
    <w:p w14:paraId="6BD12AD9" w:rsidR="00BD3993" w:rsidRPr="00BD3993" w:rsidRDefault="00BD3993" w:rsidP="00BD3993">
      <w:pPr>
        <w:shd w:val="clear" w:color="auto" w:fill="FFFFFF"/>
        <w:spacing w:before="100" w:beforeAutospacing="1" w:after="100" w:afterAutospacing="1" w:line="270" w:lineRule="atLeast"/>
        <w:textAlignment w:val="top"/>
        <w:rPr>
          <w:rFonts w:eastAsia="Times New Roman" w:cs="Arial"/>
          <w:color w:val="333333"/>
          <w:sz w:val="20"/>
          <w:szCs w:val="20"/>
        </w:rPr>
      </w:pPr>
      <w:r w:rsidRPr="00BD3993">
        <w:rPr>
          <w:rFonts w:eastAsia="Times New Roman" w:cs="Arial"/>
          <w:b/>
          <w:bCs/>
          <w:color w:val="333333"/>
          <w:sz w:val="20"/>
          <w:szCs w:val="20"/>
        </w:rPr>
        <w:t>General</w:t>
      </w:r>
    </w:p>
    <w:p w14:paraId="5D08A971" w:rsidR="00BD3993" w:rsidRPr="00BD3993" w:rsidRDefault="00BD3993" w:rsidP="00BD3993">
      <w:pPr>
        <w:shd w:val="clear" w:color="auto" w:fill="FFFFFF"/>
        <w:spacing w:after="0" w:line="270" w:lineRule="atLeast"/>
        <w:textAlignment w:val="top"/>
        <w:rPr>
          <w:rFonts w:eastAsia="Times New Roman" w:cs="Arial"/>
          <w:color w:val="333333"/>
          <w:sz w:val="20"/>
          <w:szCs w:val="20"/>
        </w:rPr>
      </w:pPr>
      <w:r w:rsidRPr="00BD3993">
        <w:rPr>
          <w:rFonts w:eastAsia="Times New Roman" w:cs="Arial"/>
          <w:color w:val="333333"/>
          <w:sz w:val="20"/>
          <w:szCs w:val="20"/>
        </w:rPr>
        <w:t xml:space="preserve">1. Country Offices can use the Development Support Services (DSS) facility in order to provide Resident Representatives with a rapid response capacity for direct support to upstream initiatives in UNDP’s focus areas. </w:t>
      </w:r>
      <w:r w:rsidRPr="00BD3993">
        <w:rPr>
          <w:rFonts w:eastAsia="Times New Roman" w:cs="Arial"/>
          <w:color w:val="333333"/>
          <w:sz w:val="20"/>
          <w:szCs w:val="20"/>
        </w:rPr>
        <w:br/>
      </w:r>
      <w:r w:rsidRPr="00BD3993">
        <w:rPr>
          <w:rFonts w:eastAsia="Times New Roman" w:cs="Arial"/>
          <w:color w:val="333333"/>
          <w:sz w:val="20"/>
          <w:szCs w:val="20"/>
        </w:rPr>
        <w:br/>
      </w:r>
      <w:r w:rsidRPr="00BD3993">
        <w:rPr>
          <w:rFonts w:eastAsia="Times New Roman" w:cs="Arial"/>
          <w:b/>
          <w:bCs/>
          <w:color w:val="333333"/>
          <w:sz w:val="20"/>
          <w:szCs w:val="20"/>
        </w:rPr>
        <w:t>The DSS facility</w:t>
      </w:r>
    </w:p>
    <w:p w14:paraId="4374878C" w:rsidR="00BD3993" w:rsidRPr="00BD3993" w:rsidRDefault="00BD3993" w:rsidP="00BD3993">
      <w:pPr>
        <w:shd w:val="clear" w:color="auto" w:fill="FFFFFF"/>
        <w:spacing w:after="0" w:line="270" w:lineRule="atLeast"/>
        <w:textAlignment w:val="top"/>
        <w:rPr>
          <w:rFonts w:eastAsia="Times New Roman" w:cs="Arial"/>
          <w:color w:val="333333"/>
          <w:sz w:val="20"/>
          <w:szCs w:val="20"/>
        </w:rPr>
      </w:pPr>
      <w:r w:rsidRPr="00BD3993">
        <w:rPr>
          <w:rFonts w:eastAsia="Times New Roman" w:cs="Arial"/>
          <w:color w:val="333333"/>
          <w:sz w:val="20"/>
          <w:szCs w:val="20"/>
        </w:rPr>
        <w:t> 2. Development Support Services (DSS) are intended to directly support high priority frameworks and programming initiatives, such as Country Programmes, SRFs, UNDAFs, pursuance of MDGs and Joint Programmes. The DSS facility should be leveraged to significantly enhance the substantive capacity of UNDP country offices to respond in a timely and flexible manner to the identified needs of governments in the above areas. The DSS facility also is expected to enhance the consultative process between Resident Representatives, Governments and donors, especially with respect to the alignment and programming of core and non-core resources.</w:t>
      </w:r>
      <w:r w:rsidRPr="00BD3993">
        <w:rPr>
          <w:rFonts w:eastAsia="Times New Roman" w:cs="Arial"/>
          <w:color w:val="333333"/>
          <w:sz w:val="20"/>
          <w:szCs w:val="20"/>
        </w:rPr>
        <w:br/>
      </w:r>
      <w:r w:rsidRPr="00BD3993">
        <w:rPr>
          <w:rFonts w:eastAsia="Times New Roman" w:cs="Arial"/>
          <w:color w:val="333333"/>
          <w:sz w:val="20"/>
          <w:szCs w:val="20"/>
        </w:rPr>
        <w:br/>
      </w:r>
      <w:r w:rsidRPr="00BD3993">
        <w:rPr>
          <w:rFonts w:eastAsia="Times New Roman" w:cs="Arial"/>
          <w:color w:val="333333"/>
          <w:sz w:val="20"/>
          <w:szCs w:val="20"/>
        </w:rPr>
        <w:t>3. The DSS facility is funded from Regular Resources through the Programming Arrangements. On an annual basis, resources are allocated through an Annual Spending Limit (ASL) in Atlas. Resources allocated to a Country office that remain unspent resources do not roll forward to the next year.</w:t>
      </w:r>
      <w:r w:rsidRPr="00BD3993">
        <w:rPr>
          <w:rFonts w:eastAsia="Times New Roman" w:cs="Arial"/>
          <w:color w:val="333333"/>
          <w:sz w:val="20"/>
          <w:szCs w:val="20"/>
        </w:rPr>
        <w:br/>
      </w:r>
      <w:r w:rsidRPr="00BD3993">
        <w:rPr>
          <w:rFonts w:eastAsia="Times New Roman" w:cs="Arial"/>
          <w:color w:val="333333"/>
          <w:sz w:val="20"/>
          <w:szCs w:val="20"/>
        </w:rPr>
        <w:br/>
      </w:r>
      <w:r w:rsidRPr="00BD3993">
        <w:rPr>
          <w:rFonts w:eastAsia="Times New Roman" w:cs="Arial"/>
          <w:b/>
          <w:bCs/>
          <w:color w:val="333333"/>
          <w:sz w:val="20"/>
          <w:szCs w:val="20"/>
        </w:rPr>
        <w:t>Operational and Procedural Guidelines</w:t>
      </w:r>
      <w:r w:rsidRPr="00BD3993">
        <w:rPr>
          <w:rFonts w:eastAsia="Times New Roman" w:cs="Arial"/>
          <w:color w:val="333333"/>
          <w:sz w:val="20"/>
          <w:szCs w:val="20"/>
        </w:rPr>
        <w:br/>
      </w:r>
      <w:r w:rsidRPr="00BD3993">
        <w:rPr>
          <w:rFonts w:eastAsia="Times New Roman" w:cs="Arial"/>
          <w:color w:val="333333"/>
          <w:sz w:val="20"/>
          <w:szCs w:val="20"/>
        </w:rPr>
        <w:t>4. The Development Support Services (DSS) facility is allocation-controlled at the Fund-Department level through the ALT_DP ledger with fund code 04400.</w:t>
      </w:r>
      <w:r w:rsidRPr="00BD3993">
        <w:rPr>
          <w:rFonts w:eastAsia="Times New Roman" w:cs="Arial"/>
          <w:color w:val="333333"/>
          <w:sz w:val="20"/>
          <w:szCs w:val="20"/>
        </w:rPr>
        <w:br/>
      </w:r>
      <w:r w:rsidRPr="00BD3993">
        <w:rPr>
          <w:rFonts w:eastAsia="Times New Roman" w:cs="Arial"/>
          <w:color w:val="333333"/>
          <w:sz w:val="20"/>
          <w:szCs w:val="20"/>
        </w:rPr>
        <w:br/>
      </w:r>
      <w:r w:rsidRPr="00BD3993">
        <w:rPr>
          <w:rFonts w:eastAsia="Times New Roman" w:cs="Arial"/>
          <w:color w:val="333333"/>
          <w:sz w:val="20"/>
          <w:szCs w:val="20"/>
        </w:rPr>
        <w:t xml:space="preserve">5. Based on the resources allocated to the Country Offices through the ASL, the Country Office can set up a development project(s) using the following COA: </w:t>
      </w:r>
    </w:p>
    <w:p w14:paraId="73B778A8" w:rsidR="00BD3993" w:rsidRPr="00BD3993" w:rsidRDefault="00BD3993" w:rsidP="00BD3993">
      <w:pPr>
        <w:shd w:val="clear" w:color="auto" w:fill="FFFFFF"/>
        <w:spacing w:after="100" w:line="270" w:lineRule="atLeast"/>
        <w:textAlignment w:val="top"/>
        <w:rPr>
          <w:rFonts w:eastAsia="Times New Roman" w:cs="Arial"/>
          <w:color w:val="333333"/>
          <w:sz w:val="20"/>
          <w:szCs w:val="20"/>
        </w:rPr>
      </w:pPr>
      <w:r w:rsidRPr="00BD3993">
        <w:rPr>
          <w:rFonts w:eastAsia="Times New Roman" w:cs="Arial"/>
          <w:color w:val="333333"/>
          <w:sz w:val="20"/>
          <w:szCs w:val="20"/>
        </w:rPr>
        <w:t>YEAR: Current Year</w:t>
      </w:r>
      <w:r w:rsidRPr="00BD3993">
        <w:rPr>
          <w:rFonts w:eastAsia="Times New Roman" w:cs="Arial"/>
          <w:color w:val="333333"/>
          <w:sz w:val="20"/>
          <w:szCs w:val="20"/>
        </w:rPr>
        <w:br/>
      </w:r>
      <w:r w:rsidRPr="00BD3993">
        <w:rPr>
          <w:rFonts w:eastAsia="Times New Roman" w:cs="Arial"/>
          <w:color w:val="333333"/>
          <w:sz w:val="20"/>
          <w:szCs w:val="20"/>
        </w:rPr>
        <w:t>FUND: 04400</w:t>
      </w:r>
      <w:r w:rsidRPr="00BD3993">
        <w:rPr>
          <w:rFonts w:eastAsia="Times New Roman" w:cs="Arial"/>
          <w:color w:val="333333"/>
          <w:sz w:val="20"/>
          <w:szCs w:val="20"/>
        </w:rPr>
        <w:br/>
      </w:r>
      <w:r w:rsidRPr="00BD3993">
        <w:rPr>
          <w:rFonts w:eastAsia="Times New Roman" w:cs="Arial"/>
          <w:color w:val="333333"/>
          <w:sz w:val="20"/>
          <w:szCs w:val="20"/>
        </w:rPr>
        <w:t>OP UNIT: Country Office Code</w:t>
      </w:r>
      <w:r w:rsidRPr="00BD3993">
        <w:rPr>
          <w:rFonts w:eastAsia="Times New Roman" w:cs="Arial"/>
          <w:color w:val="333333"/>
          <w:sz w:val="20"/>
          <w:szCs w:val="20"/>
        </w:rPr>
        <w:br/>
      </w:r>
      <w:r w:rsidRPr="00BD3993">
        <w:rPr>
          <w:rFonts w:eastAsia="Times New Roman" w:cs="Arial"/>
          <w:color w:val="333333"/>
          <w:sz w:val="20"/>
          <w:szCs w:val="20"/>
        </w:rPr>
        <w:t>PROJECT: To be created by CO</w:t>
      </w:r>
      <w:r w:rsidRPr="00BD3993">
        <w:rPr>
          <w:rFonts w:eastAsia="Times New Roman" w:cs="Arial"/>
          <w:color w:val="333333"/>
          <w:sz w:val="20"/>
          <w:szCs w:val="20"/>
        </w:rPr>
        <w:br/>
      </w:r>
      <w:r w:rsidRPr="00BD3993">
        <w:rPr>
          <w:rFonts w:eastAsia="Times New Roman" w:cs="Arial"/>
          <w:color w:val="333333"/>
          <w:sz w:val="20"/>
          <w:szCs w:val="20"/>
        </w:rPr>
        <w:t>IMPL. AGENT: UNDP</w:t>
      </w:r>
      <w:r w:rsidRPr="00BD3993">
        <w:rPr>
          <w:rFonts w:eastAsia="Times New Roman" w:cs="Arial"/>
          <w:color w:val="333333"/>
          <w:sz w:val="20"/>
          <w:szCs w:val="20"/>
        </w:rPr>
        <w:br/>
      </w:r>
      <w:r w:rsidRPr="00BD3993">
        <w:rPr>
          <w:rFonts w:eastAsia="Times New Roman" w:cs="Arial"/>
          <w:color w:val="333333"/>
          <w:sz w:val="20"/>
          <w:szCs w:val="20"/>
        </w:rPr>
        <w:t>DONOR: 00012</w:t>
      </w:r>
    </w:p>
    <w:p w14:paraId="11CEF911" w:rsidR="00BD3993" w:rsidRPr="00BD3993" w:rsidRDefault="00BD3993" w:rsidP="00BD3993">
      <w:pPr>
        <w:shd w:val="clear" w:color="auto" w:fill="FFFFFF"/>
        <w:spacing w:after="0" w:line="270" w:lineRule="atLeast"/>
        <w:textAlignment w:val="top"/>
        <w:rPr>
          <w:rFonts w:eastAsia="Times New Roman" w:cs="Arial"/>
          <w:color w:val="333333"/>
          <w:sz w:val="20"/>
          <w:szCs w:val="20"/>
        </w:rPr>
      </w:pPr>
      <w:r w:rsidRPr="00BD3993">
        <w:rPr>
          <w:rFonts w:eastAsia="Times New Roman" w:cs="Arial"/>
          <w:color w:val="333333"/>
          <w:sz w:val="20"/>
          <w:szCs w:val="20"/>
        </w:rPr>
        <w:br/>
      </w:r>
      <w:r w:rsidRPr="00BD3993">
        <w:rPr>
          <w:rFonts w:eastAsia="Times New Roman" w:cs="Arial"/>
          <w:color w:val="333333"/>
          <w:sz w:val="20"/>
          <w:szCs w:val="20"/>
        </w:rPr>
        <w:t>6. As for any other funds, Country Offices can monitor DSS expenditures through the Atlas Executive Snapshot as well as through relevant Atlas fund level reports.</w:t>
      </w:r>
      <w:r w:rsidRPr="00BD3993">
        <w:rPr>
          <w:rFonts w:eastAsia="Times New Roman" w:cs="Arial"/>
          <w:color w:val="333333"/>
          <w:sz w:val="20"/>
          <w:szCs w:val="20"/>
        </w:rPr>
        <w:br/>
      </w:r>
      <w:r w:rsidRPr="00BD3993">
        <w:rPr>
          <w:rFonts w:eastAsia="Times New Roman" w:cs="Arial"/>
          <w:color w:val="333333"/>
          <w:sz w:val="20"/>
          <w:szCs w:val="20"/>
        </w:rPr>
        <w:br/>
      </w:r>
      <w:r w:rsidRPr="00BD3993">
        <w:rPr>
          <w:rFonts w:eastAsia="Times New Roman" w:cs="Arial"/>
          <w:color w:val="333333"/>
          <w:sz w:val="20"/>
          <w:szCs w:val="20"/>
        </w:rPr>
        <w:t>7. CO’s should report their activities and results achieved through the DSS facility in the ROAR.</w:t>
      </w:r>
    </w:p>
    <w:p w14:paraId="641AC64C" w:rsidR="00BD3993" w:rsidRPr="00BD3993" w:rsidRDefault="00BD3993" w:rsidP="00BD3993">
      <w:pPr>
        <w:shd w:val="clear" w:color="auto" w:fill="FFFFFF"/>
        <w:spacing w:line="270" w:lineRule="atLeast"/>
        <w:textAlignment w:val="top"/>
        <w:rPr>
          <w:rFonts w:eastAsia="Times New Roman" w:cs="Arial"/>
          <w:color w:val="333333"/>
          <w:sz w:val="20"/>
          <w:szCs w:val="20"/>
        </w:rPr>
      </w:pPr>
    </w:p>
    <w:p w14:paraId="54FC40E7" w:rsidR="00BD3993" w:rsidRDefault="00BD3993">
      <w:pPr>
        <w:rPr>
          <w:rFonts w:eastAsia="Times New Roman" w:cs="Arial"/>
          <w:b/>
          <w:bCs/>
          <w:color w:val="023971"/>
          <w:sz w:val="20"/>
          <w:szCs w:val="20"/>
        </w:rPr>
      </w:pPr>
      <w:r>
        <w:rPr>
          <w:rFonts w:eastAsia="Times New Roman" w:cs="Arial"/>
          <w:b/>
          <w:bCs/>
          <w:color w:val="023971"/>
          <w:sz w:val="20"/>
          <w:szCs w:val="20"/>
        </w:rPr>
        <w:br w:type="page"/>
      </w:r>
    </w:p>
    <w:p w14:paraId="7EB09559" w:rsidR="005A1C69" w:rsidRPr="005A1C69" w:rsidRDefault="005A1C69" w:rsidP="005A1C69">
      <w:pPr>
        <w:shd w:val="clear" w:color="auto" w:fill="FFFFFF"/>
        <w:spacing w:line="270" w:lineRule="atLeast"/>
        <w:textAlignment w:val="top"/>
        <w:rPr>
          <w:rFonts w:eastAsia="Times New Roman" w:cs="Arial"/>
          <w:b/>
          <w:bCs/>
          <w:color w:val="023971"/>
          <w:sz w:val="24"/>
          <w:szCs w:val="24"/>
        </w:rPr>
      </w:pPr>
      <w:r w:rsidRPr="005A1C69">
        <w:rPr>
          <w:rFonts w:eastAsia="Times New Roman" w:cs="Arial"/>
          <w:b/>
          <w:bCs/>
          <w:color w:val="023971"/>
          <w:sz w:val="24"/>
          <w:szCs w:val="24"/>
        </w:rPr>
        <w:lastRenderedPageBreak/>
        <w:t xml:space="preserve">Non-core Development Advisory Services (DAS) Funding Facility </w:t>
      </w:r>
    </w:p>
    <w:p w14:paraId="339D7373" w:rsidR="005A1C69" w:rsidRPr="005A1C69" w:rsidRDefault="005A1C69" w:rsidP="005A1C69">
      <w:pPr>
        <w:shd w:val="clear" w:color="auto" w:fill="FFFFFF"/>
        <w:spacing w:after="0" w:line="270" w:lineRule="atLeast"/>
        <w:textAlignment w:val="top"/>
        <w:rPr>
          <w:rFonts w:eastAsia="Times New Roman" w:cs="Times New Roman"/>
          <w:vanish/>
          <w:color w:val="333333"/>
          <w:sz w:val="20"/>
          <w:szCs w:val="20"/>
        </w:rPr>
      </w:pPr>
      <w:r w:rsidRPr="005A1C69">
        <w:rPr>
          <w:rFonts w:eastAsia="Times New Roman" w:cs="Times New Roman"/>
          <w:vanish/>
          <w:color w:val="333333"/>
          <w:sz w:val="20"/>
          <w:szCs w:val="20"/>
        </w:rPr>
        <w:t>Structure Element - Description</w:t>
      </w:r>
    </w:p>
    <w:p w14:paraId="39E2CA7B" w:rsidR="005A1C69" w:rsidRPr="005A1C69" w:rsidRDefault="005A1C69" w:rsidP="005A1C69">
      <w:pPr>
        <w:shd w:val="clear" w:color="auto" w:fill="FFFFFF"/>
        <w:spacing w:after="0" w:line="270" w:lineRule="atLeast"/>
        <w:textAlignment w:val="top"/>
        <w:rPr>
          <w:rFonts w:eastAsia="Times New Roman" w:cs="Times New Roman"/>
          <w:color w:val="333333"/>
          <w:sz w:val="20"/>
          <w:szCs w:val="20"/>
        </w:rPr>
      </w:pPr>
      <w:r w:rsidRPr="005A1C69">
        <w:rPr>
          <w:rFonts w:eastAsia="Times New Roman" w:cs="Times New Roman"/>
          <w:color w:val="333333"/>
          <w:sz w:val="20"/>
          <w:szCs w:val="20"/>
        </w:rPr>
        <w:t>​</w:t>
      </w:r>
      <w:r w:rsidRPr="005A1C69">
        <w:rPr>
          <w:rFonts w:eastAsia="Times New Roman" w:cs="Times New Roman"/>
          <w:b/>
          <w:bCs/>
          <w:color w:val="333333"/>
          <w:sz w:val="20"/>
          <w:szCs w:val="20"/>
        </w:rPr>
        <w:t>General</w:t>
      </w:r>
      <w:r w:rsidRPr="005A1C69">
        <w:rPr>
          <w:rFonts w:eastAsia="Times New Roman" w:cs="Times New Roman"/>
          <w:b/>
          <w:bCs/>
          <w:color w:val="333333"/>
          <w:sz w:val="20"/>
          <w:szCs w:val="20"/>
        </w:rPr>
        <w:br/>
      </w:r>
      <w:r w:rsidRPr="005A1C69">
        <w:rPr>
          <w:rFonts w:eastAsia="Times New Roman" w:cs="Times New Roman"/>
          <w:color w:val="333333"/>
          <w:sz w:val="20"/>
          <w:szCs w:val="20"/>
        </w:rPr>
        <w:t>1. In addition to the existing funding modalities, in each Country Office, a Development Advisory Services (DAS) Facility funded through Other Resources can be established in order to provide Resident Representatives with a rapid response capacity for direct support to upstream initiatives in UNDP’s focus areas. .</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b/>
          <w:bCs/>
          <w:color w:val="333333"/>
          <w:sz w:val="20"/>
          <w:szCs w:val="20"/>
        </w:rPr>
        <w:t>The DAS facility</w:t>
      </w:r>
      <w:r w:rsidRPr="005A1C69">
        <w:rPr>
          <w:rFonts w:eastAsia="Times New Roman" w:cs="Times New Roman"/>
          <w:color w:val="333333"/>
          <w:sz w:val="20"/>
          <w:szCs w:val="20"/>
        </w:rPr>
        <w:br/>
      </w:r>
      <w:r w:rsidRPr="005A1C69">
        <w:rPr>
          <w:rFonts w:eastAsia="Times New Roman" w:cs="Times New Roman"/>
          <w:color w:val="333333"/>
          <w:sz w:val="20"/>
          <w:szCs w:val="20"/>
        </w:rPr>
        <w:t>2. Development Advisory Services (DAS) are intended to directly support high priority frameworks and programming initiatives, such as Country Programmes, SRFs, UNDAFs, pursuance of MDGs and Joint Programmes. The DAS facility should be leveraged to significantly enhance the substantive capacity of UNDP country offices to respond in a timely and flexible manner to the identified needs of governments in the above areas. The DAS facility also is expected to enhance the consultative process between Resident Representatives, Governments and donors, especially with respect to the alignment and programming of core and non-core resources.</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color w:val="333333"/>
          <w:sz w:val="20"/>
          <w:szCs w:val="20"/>
        </w:rPr>
        <w:t xml:space="preserve">3. There is no prescribed funding level for the DAS facility established in each country office. Rather, DAS funding will depend entirely on the ability of country offices to mobilize resources for this purpose in close consultation with the government. </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color w:val="333333"/>
          <w:sz w:val="20"/>
          <w:szCs w:val="20"/>
        </w:rPr>
        <w:t xml:space="preserve">4. The DAS facility could receive funds from a variety of sources, such as one or more of the following below: </w:t>
      </w:r>
    </w:p>
    <w:p w14:paraId="5CB03804" w:rsidR="005A1C69" w:rsidRPr="005A1C69" w:rsidRDefault="005A1C69" w:rsidP="005A1C69">
      <w:pPr>
        <w:shd w:val="clear" w:color="auto" w:fill="FFFFFF"/>
        <w:spacing w:after="0" w:line="270" w:lineRule="atLeast"/>
        <w:textAlignment w:val="top"/>
        <w:rPr>
          <w:rFonts w:eastAsia="Times New Roman" w:cs="Times New Roman"/>
          <w:color w:val="333333"/>
          <w:sz w:val="20"/>
          <w:szCs w:val="20"/>
        </w:rPr>
      </w:pPr>
      <w:r w:rsidRPr="005A1C69">
        <w:rPr>
          <w:rFonts w:eastAsia="Times New Roman" w:cs="Times New Roman"/>
          <w:color w:val="333333"/>
          <w:sz w:val="20"/>
          <w:szCs w:val="20"/>
        </w:rPr>
        <w:t>(i) The Country Programme Cost sharing Account (11888 account) represents a source of non-core programme resources available to countries in support of a broad range of programme initiatives falling within the purview of their Country Programmes. Resources currently flow into it from two different sources: (1) blanket contributions to Country Programmes from donors (usually the concerned programme country government); and (2) interest earned on cost sharing income balances. Country offices should review the current status of their Country Programme cost sharing accounts (11888 accounts), especially accumulated interest earned on cost sharing income balances, and then hold appropriate consultations with host governments in order to determine the magnitude of resources, if any, which could be best utilized through transfer to the DAS facility.</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color w:val="333333"/>
          <w:sz w:val="20"/>
          <w:szCs w:val="20"/>
        </w:rPr>
        <w:t>(ii) Residual Cost Sharing Income Balances exist with respect to a large number of completed projects that still have remaining cost sharing income balances. Consistent with general practice in the organization, donor agreement/concurrence must be secured prior to transferring and utilizing any such balances to the DAS facility.</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color w:val="333333"/>
          <w:sz w:val="20"/>
          <w:szCs w:val="20"/>
        </w:rPr>
        <w:t xml:space="preserve">(iii) Direct Government and Third-Party Contributions can also be mobilized and credited to the DAS facility to directly support programme initiatives. </w:t>
      </w:r>
    </w:p>
    <w:p w14:paraId="40406916" w:rsidR="00BD3993" w:rsidRDefault="005A1C69" w:rsidP="005A1C69">
      <w:pPr>
        <w:shd w:val="clear" w:color="auto" w:fill="FFFFFF"/>
        <w:spacing w:after="0" w:line="270" w:lineRule="atLeast"/>
        <w:textAlignment w:val="top"/>
        <w:rPr>
          <w:rFonts w:eastAsia="Times New Roman" w:cs="Times New Roman"/>
          <w:b/>
          <w:bCs/>
          <w:color w:val="333333"/>
          <w:sz w:val="20"/>
          <w:szCs w:val="20"/>
        </w:rPr>
      </w:pPr>
      <w:r w:rsidRPr="005A1C69">
        <w:rPr>
          <w:rFonts w:eastAsia="Times New Roman" w:cs="Times New Roman"/>
          <w:color w:val="333333"/>
          <w:sz w:val="20"/>
          <w:szCs w:val="20"/>
        </w:rPr>
        <w:br/>
      </w:r>
      <w:r w:rsidRPr="005A1C69">
        <w:rPr>
          <w:rFonts w:eastAsia="Times New Roman" w:cs="Times New Roman"/>
          <w:b/>
          <w:bCs/>
          <w:color w:val="333333"/>
          <w:sz w:val="20"/>
          <w:szCs w:val="20"/>
        </w:rPr>
        <w:t>Operational and Procedural Guidelines</w:t>
      </w:r>
      <w:r w:rsidRPr="005A1C69">
        <w:rPr>
          <w:rFonts w:eastAsia="Times New Roman" w:cs="Times New Roman"/>
          <w:color w:val="333333"/>
          <w:sz w:val="20"/>
          <w:szCs w:val="20"/>
        </w:rPr>
        <w:br/>
      </w:r>
    </w:p>
    <w:p w14:paraId="03CBA40D" w:rsidR="005A1C69" w:rsidRPr="005A1C69" w:rsidRDefault="005A1C69" w:rsidP="005A1C69">
      <w:pPr>
        <w:shd w:val="clear" w:color="auto" w:fill="FFFFFF"/>
        <w:spacing w:after="0" w:line="270" w:lineRule="atLeast"/>
        <w:textAlignment w:val="top"/>
        <w:rPr>
          <w:rFonts w:eastAsia="Times New Roman" w:cs="Times New Roman"/>
          <w:color w:val="333333"/>
          <w:sz w:val="20"/>
          <w:szCs w:val="20"/>
        </w:rPr>
      </w:pPr>
      <w:r w:rsidRPr="005A1C69">
        <w:rPr>
          <w:rFonts w:eastAsia="Times New Roman" w:cs="Times New Roman"/>
          <w:b/>
          <w:bCs/>
          <w:color w:val="333333"/>
          <w:sz w:val="20"/>
          <w:szCs w:val="20"/>
        </w:rPr>
        <w:t>Recording of Income</w:t>
      </w:r>
      <w:r w:rsidRPr="005A1C69">
        <w:rPr>
          <w:rFonts w:eastAsia="Times New Roman" w:cs="Times New Roman"/>
          <w:color w:val="333333"/>
          <w:sz w:val="20"/>
          <w:szCs w:val="20"/>
        </w:rPr>
        <w:br/>
      </w:r>
      <w:r w:rsidRPr="005A1C69">
        <w:rPr>
          <w:rFonts w:eastAsia="Times New Roman" w:cs="Times New Roman"/>
          <w:color w:val="333333"/>
          <w:sz w:val="20"/>
          <w:szCs w:val="20"/>
        </w:rPr>
        <w:t>5. The Development Advisory Services (DAS) facility is cash controlled fund managed through the AX1 DP ledger, fund code 11999.</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color w:val="333333"/>
          <w:sz w:val="20"/>
          <w:szCs w:val="20"/>
        </w:rPr>
        <w:t xml:space="preserve">6. The facility can receive funds from a variety of sources noted above. However, once income is recorded in the DAS facility, it cannot be considered fungible and thus is not eligible for consideration for transfer for other purposes. </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color w:val="333333"/>
          <w:sz w:val="20"/>
          <w:szCs w:val="20"/>
        </w:rPr>
        <w:t xml:space="preserve">7. If Country Offices transfers unutilized cost sharing balances to the DAS facility, the following prerequisites apply: </w:t>
      </w:r>
    </w:p>
    <w:p w14:paraId="4C3E04AA" w:rsidR="005A1C69" w:rsidRPr="005A1C69" w:rsidRDefault="005A1C69" w:rsidP="00BD3993">
      <w:pPr>
        <w:numPr>
          <w:ilvl w:val="0"/>
          <w:numId w:val="8"/>
        </w:numPr>
        <w:shd w:val="clear" w:color="auto" w:fill="FFFFFF"/>
        <w:tabs>
          <w:tab w:val="clear" w:pos="720"/>
        </w:tabs>
        <w:spacing w:before="100" w:beforeAutospacing="1" w:after="100" w:afterAutospacing="1" w:line="270" w:lineRule="atLeast"/>
        <w:ind w:left="630" w:hanging="270"/>
        <w:textAlignment w:val="top"/>
        <w:rPr>
          <w:rFonts w:eastAsia="Times New Roman" w:cs="Times New Roman"/>
          <w:color w:val="333333"/>
          <w:sz w:val="20"/>
          <w:szCs w:val="20"/>
        </w:rPr>
      </w:pPr>
      <w:r w:rsidRPr="005A1C69">
        <w:rPr>
          <w:rFonts w:eastAsia="Times New Roman" w:cs="Times New Roman"/>
          <w:color w:val="333333"/>
          <w:sz w:val="20"/>
          <w:szCs w:val="20"/>
        </w:rPr>
        <w:lastRenderedPageBreak/>
        <w:t xml:space="preserve">Offices are to ensure that corresponding costs-sharing project is closed and there are no outstanding financial obligations or commitments; </w:t>
      </w:r>
    </w:p>
    <w:p w14:paraId="05224904" w:rsidR="005A1C69" w:rsidRPr="005A1C69" w:rsidRDefault="005A1C69" w:rsidP="00BD3993">
      <w:pPr>
        <w:numPr>
          <w:ilvl w:val="0"/>
          <w:numId w:val="8"/>
        </w:numPr>
        <w:shd w:val="clear" w:color="auto" w:fill="FFFFFF"/>
        <w:tabs>
          <w:tab w:val="clear" w:pos="720"/>
        </w:tabs>
        <w:spacing w:before="100" w:beforeAutospacing="1" w:after="100" w:afterAutospacing="1" w:line="270" w:lineRule="atLeast"/>
        <w:ind w:left="630" w:hanging="270"/>
        <w:textAlignment w:val="top"/>
        <w:rPr>
          <w:rFonts w:eastAsia="Times New Roman" w:cs="Times New Roman"/>
          <w:color w:val="333333"/>
          <w:sz w:val="20"/>
          <w:szCs w:val="20"/>
        </w:rPr>
      </w:pPr>
      <w:r w:rsidRPr="005A1C69">
        <w:rPr>
          <w:rFonts w:eastAsia="Times New Roman" w:cs="Times New Roman"/>
          <w:color w:val="333333"/>
          <w:sz w:val="20"/>
          <w:szCs w:val="20"/>
        </w:rPr>
        <w:t xml:space="preserve">Offices are to secure the concurrence of the donor in order to redeploy these funds to the DAS; </w:t>
      </w:r>
    </w:p>
    <w:p w14:paraId="7F3AAB37" w:rsidR="005A1C69" w:rsidRPr="005A1C69" w:rsidRDefault="005A1C69" w:rsidP="00BD3993">
      <w:pPr>
        <w:numPr>
          <w:ilvl w:val="0"/>
          <w:numId w:val="8"/>
        </w:numPr>
        <w:shd w:val="clear" w:color="auto" w:fill="FFFFFF"/>
        <w:tabs>
          <w:tab w:val="clear" w:pos="720"/>
        </w:tabs>
        <w:spacing w:before="100" w:beforeAutospacing="1" w:after="100" w:afterAutospacing="1" w:line="270" w:lineRule="atLeast"/>
        <w:ind w:left="630" w:hanging="270"/>
        <w:textAlignment w:val="top"/>
        <w:rPr>
          <w:rFonts w:eastAsia="Times New Roman" w:cs="Times New Roman"/>
          <w:color w:val="333333"/>
          <w:sz w:val="20"/>
          <w:szCs w:val="20"/>
        </w:rPr>
      </w:pPr>
      <w:r w:rsidRPr="005A1C69">
        <w:rPr>
          <w:rFonts w:eastAsia="Times New Roman" w:cs="Times New Roman"/>
          <w:color w:val="333333"/>
          <w:sz w:val="20"/>
          <w:szCs w:val="20"/>
        </w:rPr>
        <w:t>A General Ledger Journal Entry (GLJE) is raised based on the following model:</w:t>
      </w:r>
    </w:p>
    <w:tbl>
      <w:tblPr>
        <w:tblW w:w="5000" w:type="pct"/>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2"/>
        <w:gridCol w:w="711"/>
        <w:gridCol w:w="2125"/>
        <w:gridCol w:w="927"/>
        <w:gridCol w:w="445"/>
        <w:gridCol w:w="434"/>
        <w:gridCol w:w="706"/>
        <w:gridCol w:w="3291"/>
      </w:tblGrid>
      <w:tr w14:paraId="596404F4" w:rsidR="005A1C69" w:rsidRPr="005A1C69" w:rsidTr="005A1C69">
        <w:tc>
          <w:tcPr>
            <w:tcW w:w="0" w:type="auto"/>
            <w:tcBorders>
              <w:top w:val="outset" w:sz="6" w:space="0" w:color="auto"/>
              <w:left w:val="outset" w:sz="6" w:space="0" w:color="auto"/>
              <w:bottom w:val="outset" w:sz="6" w:space="0" w:color="auto"/>
              <w:right w:val="outset" w:sz="6" w:space="0" w:color="auto"/>
            </w:tcBorders>
            <w:vAlign w:val="center"/>
            <w:hideMark/>
          </w:tcPr>
          <w:p w14:paraId="6D03664F" w:rsidR="005A1C69" w:rsidRPr="005A1C69" w:rsidRDefault="005A1C69" w:rsidP="005A1C69">
            <w:pPr>
              <w:spacing w:after="0" w:line="270" w:lineRule="atLeast"/>
              <w:jc w:val="center"/>
              <w:rPr>
                <w:rFonts w:eastAsia="Times New Roman" w:cs="Times New Roman"/>
                <w:color w:val="333333"/>
                <w:sz w:val="20"/>
                <w:szCs w:val="20"/>
              </w:rPr>
            </w:pPr>
            <w:r w:rsidRPr="005A1C69">
              <w:rPr>
                <w:rFonts w:eastAsia="Times New Roman" w:cs="Times New Roman"/>
                <w:b/>
                <w:bCs/>
                <w:color w:val="333333"/>
                <w:sz w:val="20"/>
                <w:szCs w:val="20"/>
              </w:rPr>
              <w:t>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F4A66" w:rsidR="005A1C69" w:rsidRPr="005A1C69" w:rsidRDefault="005A1C69" w:rsidP="005A1C69">
            <w:pPr>
              <w:spacing w:after="0" w:line="270" w:lineRule="atLeast"/>
              <w:jc w:val="center"/>
              <w:rPr>
                <w:rFonts w:eastAsia="Times New Roman" w:cs="Times New Roman"/>
                <w:color w:val="333333"/>
                <w:sz w:val="20"/>
                <w:szCs w:val="20"/>
              </w:rPr>
            </w:pPr>
            <w:r w:rsidRPr="005A1C69">
              <w:rPr>
                <w:rFonts w:eastAsia="Times New Roman" w:cs="Times New Roman"/>
                <w:b/>
                <w:bCs/>
                <w:color w:val="333333"/>
                <w:sz w:val="20"/>
                <w:szCs w:val="20"/>
              </w:rPr>
              <w:t xml:space="preserve">Account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46F57" w:rsidR="005A1C69" w:rsidRPr="005A1C69" w:rsidRDefault="005A1C69" w:rsidP="005A1C69">
            <w:pPr>
              <w:spacing w:after="0" w:line="270" w:lineRule="atLeast"/>
              <w:jc w:val="center"/>
              <w:rPr>
                <w:rFonts w:eastAsia="Times New Roman" w:cs="Times New Roman"/>
                <w:color w:val="333333"/>
                <w:sz w:val="20"/>
                <w:szCs w:val="20"/>
              </w:rPr>
            </w:pPr>
            <w:r w:rsidRPr="005A1C69">
              <w:rPr>
                <w:rFonts w:eastAsia="Times New Roman" w:cs="Times New Roman"/>
                <w:b/>
                <w:bCs/>
                <w:color w:val="333333"/>
                <w:sz w:val="20"/>
                <w:szCs w:val="20"/>
              </w:rPr>
              <w:t xml:space="preserve">Fund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17AC7" w:rsidR="005A1C69" w:rsidRPr="005A1C69" w:rsidRDefault="005A1C69" w:rsidP="005A1C69">
            <w:pPr>
              <w:spacing w:after="0" w:line="270" w:lineRule="atLeast"/>
              <w:jc w:val="center"/>
              <w:rPr>
                <w:rFonts w:eastAsia="Times New Roman" w:cs="Times New Roman"/>
                <w:color w:val="333333"/>
                <w:sz w:val="20"/>
                <w:szCs w:val="20"/>
              </w:rPr>
            </w:pPr>
            <w:r w:rsidRPr="005A1C69">
              <w:rPr>
                <w:rFonts w:eastAsia="Times New Roman" w:cs="Times New Roman"/>
                <w:b/>
                <w:bCs/>
                <w:color w:val="333333"/>
                <w:sz w:val="20"/>
                <w:szCs w:val="20"/>
              </w:rPr>
              <w:t>Project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A1C56" w:rsidR="005A1C69" w:rsidRPr="005A1C69" w:rsidRDefault="005A1C69" w:rsidP="005A1C69">
            <w:pPr>
              <w:spacing w:after="0" w:line="270" w:lineRule="atLeast"/>
              <w:jc w:val="center"/>
              <w:rPr>
                <w:rFonts w:eastAsia="Times New Roman" w:cs="Times New Roman"/>
                <w:color w:val="333333"/>
                <w:sz w:val="20"/>
                <w:szCs w:val="20"/>
              </w:rPr>
            </w:pPr>
            <w:proofErr w:type="spellStart"/>
            <w:r w:rsidRPr="005A1C69">
              <w:rPr>
                <w:rFonts w:eastAsia="Times New Roman" w:cs="Times New Roman"/>
                <w:b/>
                <w:bCs/>
                <w:color w:val="333333"/>
                <w:sz w:val="20"/>
                <w:szCs w:val="20"/>
              </w:rPr>
              <w:t>Oper</w:t>
            </w:r>
            <w:proofErr w:type="spellEnd"/>
            <w:r w:rsidRPr="005A1C69">
              <w:rPr>
                <w:rFonts w:eastAsia="Times New Roman" w:cs="Times New Roman"/>
                <w:b/>
                <w:bCs/>
                <w:color w:val="33333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5D7BC" w:rsidR="005A1C69" w:rsidRPr="005A1C69" w:rsidRDefault="005A1C69" w:rsidP="005A1C69">
            <w:pPr>
              <w:spacing w:after="0" w:line="270" w:lineRule="atLeast"/>
              <w:jc w:val="center"/>
              <w:rPr>
                <w:rFonts w:eastAsia="Times New Roman" w:cs="Times New Roman"/>
                <w:color w:val="333333"/>
                <w:sz w:val="20"/>
                <w:szCs w:val="20"/>
              </w:rPr>
            </w:pPr>
            <w:proofErr w:type="spellStart"/>
            <w:r w:rsidRPr="005A1C69">
              <w:rPr>
                <w:rFonts w:eastAsia="Times New Roman" w:cs="Times New Roman"/>
                <w:b/>
                <w:bCs/>
                <w:color w:val="333333"/>
                <w:sz w:val="20"/>
                <w:szCs w:val="20"/>
              </w:rPr>
              <w:t>Dept</w:t>
            </w:r>
            <w:proofErr w:type="spellEnd"/>
            <w:r w:rsidRPr="005A1C69">
              <w:rPr>
                <w:rFonts w:eastAsia="Times New Roman" w:cs="Times New Roman"/>
                <w:b/>
                <w:bCs/>
                <w:color w:val="33333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CE965" w:rsidR="005A1C69" w:rsidRPr="005A1C69" w:rsidRDefault="005A1C69" w:rsidP="005A1C69">
            <w:pPr>
              <w:spacing w:after="0" w:line="270" w:lineRule="atLeast"/>
              <w:jc w:val="center"/>
              <w:rPr>
                <w:rFonts w:eastAsia="Times New Roman" w:cs="Times New Roman"/>
                <w:color w:val="333333"/>
                <w:sz w:val="20"/>
                <w:szCs w:val="20"/>
              </w:rPr>
            </w:pPr>
            <w:r w:rsidRPr="005A1C69">
              <w:rPr>
                <w:rFonts w:eastAsia="Times New Roman" w:cs="Times New Roman"/>
                <w:b/>
                <w:bCs/>
                <w:color w:val="333333"/>
                <w:sz w:val="20"/>
                <w:szCs w:val="20"/>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7D3BE" w:rsidR="005A1C69" w:rsidRPr="005A1C69" w:rsidRDefault="005A1C69" w:rsidP="005A1C69">
            <w:pPr>
              <w:spacing w:after="0" w:line="270" w:lineRule="atLeast"/>
              <w:jc w:val="center"/>
              <w:rPr>
                <w:rFonts w:eastAsia="Times New Roman" w:cs="Times New Roman"/>
                <w:color w:val="333333"/>
                <w:sz w:val="20"/>
                <w:szCs w:val="20"/>
              </w:rPr>
            </w:pPr>
            <w:r w:rsidRPr="005A1C69">
              <w:rPr>
                <w:rFonts w:eastAsia="Times New Roman" w:cs="Times New Roman"/>
                <w:b/>
                <w:bCs/>
                <w:color w:val="333333"/>
                <w:sz w:val="20"/>
                <w:szCs w:val="20"/>
              </w:rPr>
              <w:t>Comment</w:t>
            </w:r>
          </w:p>
        </w:tc>
      </w:tr>
      <w:tr w14:paraId="2BBAA077" w:rsidR="005A1C69" w:rsidRPr="005A1C69" w:rsidTr="005A1C69">
        <w:tc>
          <w:tcPr>
            <w:tcW w:w="0" w:type="auto"/>
            <w:tcBorders>
              <w:top w:val="outset" w:sz="6" w:space="0" w:color="auto"/>
              <w:left w:val="outset" w:sz="6" w:space="0" w:color="auto"/>
              <w:bottom w:val="outset" w:sz="6" w:space="0" w:color="auto"/>
              <w:right w:val="outset" w:sz="6" w:space="0" w:color="auto"/>
            </w:tcBorders>
            <w:vAlign w:val="center"/>
            <w:hideMark/>
          </w:tcPr>
          <w:p w14:paraId="18F9A56C"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6B4FF"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51035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4C072"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As per cost sharing project fund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E7DD6"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your project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4526E"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CO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F7223"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CO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1AC11"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TBD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13EC1"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DEBIT to cost sharing balances to redeploy as DAS</w:t>
            </w:r>
          </w:p>
        </w:tc>
      </w:tr>
      <w:tr w14:paraId="2B41755A" w:rsidR="005A1C69" w:rsidRPr="005A1C69" w:rsidTr="005A1C69">
        <w:tc>
          <w:tcPr>
            <w:tcW w:w="0" w:type="auto"/>
            <w:tcBorders>
              <w:top w:val="outset" w:sz="6" w:space="0" w:color="auto"/>
              <w:left w:val="outset" w:sz="6" w:space="0" w:color="auto"/>
              <w:bottom w:val="outset" w:sz="6" w:space="0" w:color="auto"/>
              <w:right w:val="outset" w:sz="6" w:space="0" w:color="auto"/>
            </w:tcBorders>
            <w:vAlign w:val="center"/>
            <w:hideMark/>
          </w:tcPr>
          <w:p w14:paraId="4B2416E2"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36601"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51035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1D120"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 xml:space="preserve">11999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87779"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C9B20"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CO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0E8E3"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D8D8C"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TBD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6A0FC" w:rsidR="005A1C69" w:rsidRPr="005A1C69" w:rsidRDefault="005A1C69" w:rsidP="005A1C69">
            <w:pPr>
              <w:spacing w:after="0" w:line="270" w:lineRule="atLeast"/>
              <w:rPr>
                <w:rFonts w:eastAsia="Times New Roman" w:cs="Times New Roman"/>
                <w:color w:val="333333"/>
                <w:sz w:val="20"/>
                <w:szCs w:val="20"/>
              </w:rPr>
            </w:pPr>
            <w:r w:rsidRPr="005A1C69">
              <w:rPr>
                <w:rFonts w:eastAsia="Times New Roman" w:cs="Times New Roman"/>
                <w:color w:val="333333"/>
                <w:sz w:val="20"/>
                <w:szCs w:val="20"/>
              </w:rPr>
              <w:t>CREDIT to DAS facility from CS balances</w:t>
            </w:r>
          </w:p>
        </w:tc>
      </w:tr>
    </w:tbl>
    <w:p w14:paraId="2ECB7F08" w:rsidR="005A1C69" w:rsidRPr="005A1C69" w:rsidRDefault="005A1C69" w:rsidP="005A1C69">
      <w:pPr>
        <w:shd w:val="clear" w:color="auto" w:fill="FFFFFF"/>
        <w:spacing w:after="0" w:line="270" w:lineRule="atLeast"/>
        <w:textAlignment w:val="top"/>
        <w:rPr>
          <w:rFonts w:eastAsia="Times New Roman" w:cs="Times New Roman"/>
          <w:color w:val="333333"/>
          <w:sz w:val="20"/>
          <w:szCs w:val="20"/>
        </w:rPr>
      </w:pPr>
      <w:r w:rsidRPr="005A1C69">
        <w:rPr>
          <w:rFonts w:eastAsia="Times New Roman" w:cs="Times New Roman"/>
          <w:color w:val="333333"/>
          <w:sz w:val="20"/>
          <w:szCs w:val="20"/>
        </w:rPr>
        <w:br/>
      </w:r>
      <w:r w:rsidRPr="005A1C69">
        <w:rPr>
          <w:rFonts w:eastAsia="Times New Roman" w:cs="Times New Roman"/>
          <w:color w:val="333333"/>
          <w:sz w:val="20"/>
          <w:szCs w:val="20"/>
        </w:rPr>
        <w:t>8. In cases where the Country Office successfully mobilizes government or third party cost-sharing contributions towards the DAS, upon receipt of the contribution, offices are to apply the contribution to Fund 11999 using the Accounts Receivable module in Atlas. It must be emphasized that regular GMS charges will apply to the contribution, as per cost recovery policy.</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b/>
          <w:bCs/>
          <w:color w:val="333333"/>
          <w:sz w:val="20"/>
          <w:szCs w:val="20"/>
        </w:rPr>
        <w:t xml:space="preserve">Project </w:t>
      </w:r>
      <w:proofErr w:type="gramStart"/>
      <w:r w:rsidRPr="005A1C69">
        <w:rPr>
          <w:rFonts w:eastAsia="Times New Roman" w:cs="Times New Roman"/>
          <w:b/>
          <w:bCs/>
          <w:color w:val="333333"/>
          <w:sz w:val="20"/>
          <w:szCs w:val="20"/>
        </w:rPr>
        <w:t>Set</w:t>
      </w:r>
      <w:proofErr w:type="gramEnd"/>
      <w:r w:rsidRPr="005A1C69">
        <w:rPr>
          <w:rFonts w:eastAsia="Times New Roman" w:cs="Times New Roman"/>
          <w:b/>
          <w:bCs/>
          <w:color w:val="333333"/>
          <w:sz w:val="20"/>
          <w:szCs w:val="20"/>
        </w:rPr>
        <w:t xml:space="preserve"> up</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color w:val="333333"/>
          <w:sz w:val="20"/>
          <w:szCs w:val="20"/>
        </w:rPr>
        <w:t xml:space="preserve">9. Based on actual income recorded in the Development Advisory Services facility and as requested by the Country Office, the Country Office can set up a development project(s) using the following COA: </w:t>
      </w:r>
    </w:p>
    <w:p w14:paraId="10C1BF1A" w:rsidR="005A1C69" w:rsidRPr="005A1C69" w:rsidRDefault="005A1C69" w:rsidP="005A1C69">
      <w:pPr>
        <w:shd w:val="clear" w:color="auto" w:fill="FFFFFF"/>
        <w:spacing w:after="0" w:line="270" w:lineRule="atLeast"/>
        <w:textAlignment w:val="top"/>
        <w:rPr>
          <w:rFonts w:eastAsia="Times New Roman" w:cs="Times New Roman"/>
          <w:color w:val="333333"/>
          <w:sz w:val="20"/>
          <w:szCs w:val="20"/>
        </w:rPr>
      </w:pPr>
      <w:r w:rsidRPr="005A1C69">
        <w:rPr>
          <w:rFonts w:eastAsia="Times New Roman" w:cs="Times New Roman"/>
          <w:color w:val="333333"/>
          <w:sz w:val="20"/>
          <w:szCs w:val="20"/>
        </w:rPr>
        <w:t>YEAR: Current Year</w:t>
      </w:r>
      <w:r w:rsidRPr="005A1C69">
        <w:rPr>
          <w:rFonts w:eastAsia="Times New Roman" w:cs="Times New Roman"/>
          <w:color w:val="333333"/>
          <w:sz w:val="20"/>
          <w:szCs w:val="20"/>
        </w:rPr>
        <w:br/>
      </w:r>
      <w:r w:rsidRPr="005A1C69">
        <w:rPr>
          <w:rFonts w:eastAsia="Times New Roman" w:cs="Times New Roman"/>
          <w:color w:val="333333"/>
          <w:sz w:val="20"/>
          <w:szCs w:val="20"/>
        </w:rPr>
        <w:t>FUND: 11999</w:t>
      </w:r>
      <w:r w:rsidRPr="005A1C69">
        <w:rPr>
          <w:rFonts w:eastAsia="Times New Roman" w:cs="Times New Roman"/>
          <w:color w:val="333333"/>
          <w:sz w:val="20"/>
          <w:szCs w:val="20"/>
        </w:rPr>
        <w:br/>
      </w:r>
      <w:r w:rsidRPr="005A1C69">
        <w:rPr>
          <w:rFonts w:eastAsia="Times New Roman" w:cs="Times New Roman"/>
          <w:color w:val="333333"/>
          <w:sz w:val="20"/>
          <w:szCs w:val="20"/>
        </w:rPr>
        <w:t>OP UNIT: Country Office Code</w:t>
      </w:r>
      <w:r w:rsidRPr="005A1C69">
        <w:rPr>
          <w:rFonts w:eastAsia="Times New Roman" w:cs="Times New Roman"/>
          <w:color w:val="333333"/>
          <w:sz w:val="20"/>
          <w:szCs w:val="20"/>
        </w:rPr>
        <w:br/>
      </w:r>
      <w:r w:rsidRPr="005A1C69">
        <w:rPr>
          <w:rFonts w:eastAsia="Times New Roman" w:cs="Times New Roman"/>
          <w:color w:val="333333"/>
          <w:sz w:val="20"/>
          <w:szCs w:val="20"/>
        </w:rPr>
        <w:t>PROJECT: To be created by CO</w:t>
      </w:r>
      <w:r w:rsidRPr="005A1C69">
        <w:rPr>
          <w:rFonts w:eastAsia="Times New Roman" w:cs="Times New Roman"/>
          <w:color w:val="333333"/>
          <w:sz w:val="20"/>
          <w:szCs w:val="20"/>
        </w:rPr>
        <w:br/>
      </w:r>
      <w:r w:rsidRPr="005A1C69">
        <w:rPr>
          <w:rFonts w:eastAsia="Times New Roman" w:cs="Times New Roman"/>
          <w:color w:val="333333"/>
          <w:sz w:val="20"/>
          <w:szCs w:val="20"/>
        </w:rPr>
        <w:t>IMPL. AGENT: UNDP</w:t>
      </w:r>
      <w:r w:rsidRPr="005A1C69">
        <w:rPr>
          <w:rFonts w:eastAsia="Times New Roman" w:cs="Times New Roman"/>
          <w:color w:val="333333"/>
          <w:sz w:val="20"/>
          <w:szCs w:val="20"/>
        </w:rPr>
        <w:br/>
      </w:r>
      <w:r w:rsidRPr="005A1C69">
        <w:rPr>
          <w:rFonts w:eastAsia="Times New Roman" w:cs="Times New Roman"/>
          <w:color w:val="333333"/>
          <w:sz w:val="20"/>
          <w:szCs w:val="20"/>
        </w:rPr>
        <w:t>DONOR: 00012</w:t>
      </w:r>
    </w:p>
    <w:p w14:paraId="0FE566E0" w:rsidR="005A1C69" w:rsidRPr="005A1C69" w:rsidRDefault="005A1C69" w:rsidP="005A1C69">
      <w:pPr>
        <w:shd w:val="clear" w:color="auto" w:fill="FFFFFF"/>
        <w:spacing w:after="0" w:line="270" w:lineRule="atLeast"/>
        <w:textAlignment w:val="top"/>
        <w:rPr>
          <w:rFonts w:eastAsia="Times New Roman" w:cs="Times New Roman"/>
          <w:color w:val="333333"/>
          <w:sz w:val="20"/>
          <w:szCs w:val="20"/>
        </w:rPr>
      </w:pPr>
      <w:r w:rsidRPr="005A1C69">
        <w:rPr>
          <w:rFonts w:eastAsia="Times New Roman" w:cs="Times New Roman"/>
          <w:color w:val="333333"/>
          <w:sz w:val="20"/>
          <w:szCs w:val="20"/>
        </w:rPr>
        <w:br/>
      </w:r>
      <w:r w:rsidRPr="005A1C69">
        <w:rPr>
          <w:rFonts w:eastAsia="Times New Roman" w:cs="Times New Roman"/>
          <w:b/>
          <w:bCs/>
          <w:color w:val="333333"/>
          <w:sz w:val="20"/>
          <w:szCs w:val="20"/>
        </w:rPr>
        <w:t>Monitoring and Reporting of Income and Expenditure</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color w:val="333333"/>
          <w:sz w:val="20"/>
          <w:szCs w:val="20"/>
        </w:rPr>
        <w:t>10. As for any other funds, Country Offices can monitor both their DAS income and their DAS expenditures through the Atlas Executive Snapshot as well as through relevant Atlas fund level reports.</w:t>
      </w:r>
      <w:r w:rsidRPr="005A1C69">
        <w:rPr>
          <w:rFonts w:eastAsia="Times New Roman" w:cs="Times New Roman"/>
          <w:color w:val="333333"/>
          <w:sz w:val="20"/>
          <w:szCs w:val="20"/>
        </w:rPr>
        <w:br/>
      </w:r>
      <w:r w:rsidRPr="005A1C69">
        <w:rPr>
          <w:rFonts w:eastAsia="Times New Roman" w:cs="Times New Roman"/>
          <w:color w:val="333333"/>
          <w:sz w:val="20"/>
          <w:szCs w:val="20"/>
        </w:rPr>
        <w:br/>
      </w:r>
      <w:r w:rsidRPr="005A1C69">
        <w:rPr>
          <w:rFonts w:eastAsia="Times New Roman" w:cs="Times New Roman"/>
          <w:b/>
          <w:bCs/>
          <w:color w:val="333333"/>
          <w:sz w:val="20"/>
          <w:szCs w:val="20"/>
        </w:rPr>
        <w:t>Substantive Reporting of Results</w:t>
      </w:r>
      <w:r w:rsidRPr="005A1C69">
        <w:rPr>
          <w:rFonts w:eastAsia="Times New Roman" w:cs="Times New Roman"/>
          <w:color w:val="333333"/>
          <w:sz w:val="20"/>
          <w:szCs w:val="20"/>
        </w:rPr>
        <w:br/>
      </w:r>
      <w:r w:rsidRPr="005A1C69">
        <w:rPr>
          <w:rFonts w:eastAsia="Times New Roman" w:cs="Times New Roman"/>
          <w:color w:val="333333"/>
          <w:sz w:val="20"/>
          <w:szCs w:val="20"/>
        </w:rPr>
        <w:t>11. CO’s should report their activities and results achieved through the DAS facility in the ROAR.</w:t>
      </w:r>
    </w:p>
    <w:p w14:paraId="74DC93D0" w:rsidR="005A1C69" w:rsidRPr="005A1C69" w:rsidRDefault="005A1C69" w:rsidP="005A1C69">
      <w:pPr>
        <w:shd w:val="clear" w:color="auto" w:fill="FFFFFF"/>
        <w:spacing w:line="270" w:lineRule="atLeast"/>
        <w:textAlignment w:val="top"/>
        <w:rPr>
          <w:rFonts w:eastAsia="Times New Roman" w:cs="Times New Roman"/>
          <w:color w:val="333333"/>
          <w:sz w:val="20"/>
          <w:szCs w:val="20"/>
        </w:rPr>
      </w:pPr>
    </w:p>
    <w:p w14:paraId="5546C4EF" w:rsidR="005A1C69" w:rsidRPr="005A1C69" w:rsidRDefault="005A1C69" w:rsidP="00BD3993">
      <w:pPr>
        <w:rPr>
          <w:rFonts w:cs="Times New Roman"/>
          <w:b/>
          <w:sz w:val="20"/>
          <w:szCs w:val="20"/>
        </w:rPr>
      </w:pPr>
    </w:p>
    <w:sectPr w:rsidR="005A1C69" w:rsidRPr="005A1C69" w:rsidSect="00F03FC8">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F748" w:rsidR="00C60CDB" w:rsidRDefault="00C60CDB" w:rsidP="00A019CA">
      <w:pPr>
        <w:spacing w:after="0" w:line="240" w:lineRule="auto"/>
      </w:pPr>
      <w:r>
        <w:separator/>
      </w:r>
    </w:p>
  </w:endnote>
  <w:endnote w:type="continuationSeparator" w:id="0">
    <w:p w14:paraId="60F28891" w:rsidR="00C60CDB" w:rsidRDefault="00C60CDB" w:rsidP="00A0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369721"/>
      <w:docPartObj>
        <w:docPartGallery w:val="Page Numbers (Bottom of Page)"/>
        <w:docPartUnique/>
      </w:docPartObj>
    </w:sdtPr>
    <w:sdtEndPr>
      <w:rPr>
        <w:noProof/>
      </w:rPr>
    </w:sdtEndPr>
    <w:sdtContent>
      <w:p w14:paraId="5D169791" w:rsidR="00BC73DB" w:rsidRDefault="00BC73DB">
        <w:pPr>
          <w:pStyle w:val="Footer"/>
          <w:jc w:val="right"/>
        </w:pPr>
        <w:r>
          <w:fldChar w:fldCharType="begin"/>
        </w:r>
        <w:r>
          <w:instrText xml:space="preserve"> PAGE   \* MERGEFORMAT </w:instrText>
        </w:r>
        <w:r>
          <w:fldChar w:fldCharType="separate"/>
        </w:r>
        <w:r w:rsidR="00D93661">
          <w:rPr>
            <w:noProof/>
          </w:rPr>
          <w:t>6</w:t>
        </w:r>
        <w:r>
          <w:rPr>
            <w:noProof/>
          </w:rPr>
          <w:fldChar w:fldCharType="end"/>
        </w:r>
      </w:p>
    </w:sdtContent>
  </w:sdt>
  <w:p w14:paraId="1D38F17C" w:rsidR="00BC73DB" w:rsidRDefault="00BC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D1FC" w:rsidR="00C60CDB" w:rsidRDefault="00C60CDB" w:rsidP="00A019CA">
      <w:pPr>
        <w:spacing w:after="0" w:line="240" w:lineRule="auto"/>
      </w:pPr>
      <w:r>
        <w:separator/>
      </w:r>
    </w:p>
  </w:footnote>
  <w:footnote w:type="continuationSeparator" w:id="0">
    <w:p w14:paraId="3B4709DE" w:rsidR="00C60CDB" w:rsidRDefault="00C60CDB" w:rsidP="00A019CA">
      <w:pPr>
        <w:spacing w:after="0" w:line="240" w:lineRule="auto"/>
      </w:pPr>
      <w:r>
        <w:continuationSeparator/>
      </w:r>
    </w:p>
  </w:footnote>
  <w:footnote w:id="1">
    <w:p w14:paraId="38C4B5B5" w:rsidR="00BC73DB" w:rsidRPr="00EC4EA3" w:rsidRDefault="00BC73DB" w:rsidP="000E366D">
      <w:pPr>
        <w:pStyle w:val="FootnoteText"/>
        <w:rPr>
          <w:sz w:val="18"/>
          <w:szCs w:val="18"/>
        </w:rPr>
      </w:pPr>
      <w:r w:rsidRPr="00EC4EA3">
        <w:rPr>
          <w:rStyle w:val="FootnoteReference"/>
          <w:sz w:val="18"/>
          <w:szCs w:val="18"/>
        </w:rPr>
        <w:footnoteRef/>
      </w:r>
      <w:r w:rsidRPr="00EC4EA3">
        <w:rPr>
          <w:sz w:val="18"/>
          <w:szCs w:val="18"/>
        </w:rPr>
        <w:t xml:space="preserve"> Message sent by Jens Wandel, Deputy Regional Director and Regional Center Director RBEC, 20 June 2011, </w:t>
      </w:r>
      <w:r>
        <w:rPr>
          <w:sz w:val="18"/>
          <w:szCs w:val="18"/>
        </w:rPr>
        <w:t>as part of the</w:t>
      </w:r>
      <w:r w:rsidRPr="00EC4EA3">
        <w:rPr>
          <w:sz w:val="18"/>
          <w:szCs w:val="18"/>
        </w:rPr>
        <w:t xml:space="preserve"> Programme and Project Management Taskforce’s discussion on simplification of the Programme and Project Cycle</w:t>
      </w:r>
    </w:p>
  </w:footnote>
  <w:footnote w:id="2">
    <w:p w14:paraId="45170E83" w:rsidR="00BC73DB" w:rsidRDefault="00BC73DB">
      <w:pPr>
        <w:pStyle w:val="FootnoteText"/>
      </w:pPr>
      <w:r>
        <w:rPr>
          <w:rStyle w:val="FootnoteReference"/>
        </w:rPr>
        <w:footnoteRef/>
      </w:r>
      <w:r>
        <w:t xml:space="preserve"> Conversations with CO colleagues at the recent RBM Workshop and consultations with colleagues in regional and central bureaus</w:t>
      </w:r>
    </w:p>
  </w:footnote>
  <w:footnote w:id="3">
    <w:p w14:paraId="3512D1B5" w:rsidR="00BC73DB" w:rsidRDefault="00BC73DB">
      <w:pPr>
        <w:pStyle w:val="FootnoteText"/>
      </w:pPr>
      <w:r>
        <w:rPr>
          <w:rStyle w:val="FootnoteReference"/>
        </w:rPr>
        <w:footnoteRef/>
      </w:r>
      <w:r>
        <w:t xml:space="preserve"> Delegation of Authority for implementation will be discussed comprehensively as part of phase two of the PPM revisions.</w:t>
      </w:r>
    </w:p>
  </w:footnote>
  <w:footnote w:id="4">
    <w:p w14:paraId="48179E26" w:rsidR="00BC73DB" w:rsidRDefault="00BC73DB">
      <w:pPr>
        <w:pStyle w:val="FootnoteText"/>
      </w:pPr>
      <w:r>
        <w:rPr>
          <w:rStyle w:val="FootnoteReference"/>
        </w:rPr>
        <w:footnoteRef/>
      </w:r>
      <w:r>
        <w:t xml:space="preserve"> Note: Project documents, project boards and PACs are not required for the Engagement Facility, as they are currently not required for DAS and DSS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A93"/>
    <w:multiLevelType w:val="hybridMultilevel"/>
    <w:tmpl w:val="4F60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87B80"/>
    <w:multiLevelType w:val="hybridMultilevel"/>
    <w:tmpl w:val="8A4E6CC0"/>
    <w:lvl w:ilvl="0" w:tplc="A1E2C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CF6F34"/>
    <w:multiLevelType w:val="hybridMultilevel"/>
    <w:tmpl w:val="7726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F4EF8"/>
    <w:multiLevelType w:val="hybridMultilevel"/>
    <w:tmpl w:val="8D744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93B16"/>
    <w:multiLevelType w:val="hybridMultilevel"/>
    <w:tmpl w:val="2F84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07BBF"/>
    <w:multiLevelType w:val="hybridMultilevel"/>
    <w:tmpl w:val="696E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B028A"/>
    <w:multiLevelType w:val="hybridMultilevel"/>
    <w:tmpl w:val="621A1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07888"/>
    <w:multiLevelType w:val="multilevel"/>
    <w:tmpl w:val="8E7E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B3A22"/>
    <w:multiLevelType w:val="hybridMultilevel"/>
    <w:tmpl w:val="C48CAD9E"/>
    <w:lvl w:ilvl="0" w:tplc="3ABCAF36">
      <w:start w:val="1"/>
      <w:numFmt w:val="decimal"/>
      <w:lvlText w:val="%1."/>
      <w:lvlJc w:val="left"/>
      <w:pPr>
        <w:ind w:left="720" w:hanging="360"/>
      </w:pPr>
      <w:rPr>
        <w:rFonts w:hint="default"/>
        <w:b/>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53"/>
    <w:rsid w:val="00004590"/>
    <w:rsid w:val="00005485"/>
    <w:rsid w:val="0001216B"/>
    <w:rsid w:val="00014960"/>
    <w:rsid w:val="000226E7"/>
    <w:rsid w:val="000232CA"/>
    <w:rsid w:val="00027EA2"/>
    <w:rsid w:val="00034743"/>
    <w:rsid w:val="00036E9E"/>
    <w:rsid w:val="00037B40"/>
    <w:rsid w:val="00037D6C"/>
    <w:rsid w:val="000421B7"/>
    <w:rsid w:val="000442D5"/>
    <w:rsid w:val="00044BD6"/>
    <w:rsid w:val="00046F24"/>
    <w:rsid w:val="00052BB3"/>
    <w:rsid w:val="000536F8"/>
    <w:rsid w:val="00073518"/>
    <w:rsid w:val="00073666"/>
    <w:rsid w:val="0007560E"/>
    <w:rsid w:val="000935D2"/>
    <w:rsid w:val="000946D9"/>
    <w:rsid w:val="0009780E"/>
    <w:rsid w:val="000A204A"/>
    <w:rsid w:val="000B551A"/>
    <w:rsid w:val="000B6A46"/>
    <w:rsid w:val="000C4DB1"/>
    <w:rsid w:val="000D32EC"/>
    <w:rsid w:val="000D5E49"/>
    <w:rsid w:val="000E0E6C"/>
    <w:rsid w:val="000E366D"/>
    <w:rsid w:val="000E6CA5"/>
    <w:rsid w:val="000E7462"/>
    <w:rsid w:val="000F5F76"/>
    <w:rsid w:val="000F604A"/>
    <w:rsid w:val="001025B7"/>
    <w:rsid w:val="00105CFE"/>
    <w:rsid w:val="001067E9"/>
    <w:rsid w:val="001074AC"/>
    <w:rsid w:val="001165CA"/>
    <w:rsid w:val="00120BAC"/>
    <w:rsid w:val="00121BAE"/>
    <w:rsid w:val="0012313A"/>
    <w:rsid w:val="001251EB"/>
    <w:rsid w:val="00135A0F"/>
    <w:rsid w:val="00135FA4"/>
    <w:rsid w:val="001459DA"/>
    <w:rsid w:val="00163F35"/>
    <w:rsid w:val="0017196B"/>
    <w:rsid w:val="00177C29"/>
    <w:rsid w:val="001808E2"/>
    <w:rsid w:val="00190117"/>
    <w:rsid w:val="00195C7B"/>
    <w:rsid w:val="001973E1"/>
    <w:rsid w:val="001A1455"/>
    <w:rsid w:val="001A2C9D"/>
    <w:rsid w:val="001A3C97"/>
    <w:rsid w:val="001B02BC"/>
    <w:rsid w:val="001B0445"/>
    <w:rsid w:val="001B21BA"/>
    <w:rsid w:val="001B4063"/>
    <w:rsid w:val="001C630A"/>
    <w:rsid w:val="001D6981"/>
    <w:rsid w:val="001E0C80"/>
    <w:rsid w:val="001E31BC"/>
    <w:rsid w:val="001E4A76"/>
    <w:rsid w:val="001F5FC1"/>
    <w:rsid w:val="0020146B"/>
    <w:rsid w:val="00212557"/>
    <w:rsid w:val="00214BB1"/>
    <w:rsid w:val="00221A9F"/>
    <w:rsid w:val="0022275E"/>
    <w:rsid w:val="0023071E"/>
    <w:rsid w:val="00231C9C"/>
    <w:rsid w:val="002370EF"/>
    <w:rsid w:val="0023782D"/>
    <w:rsid w:val="00245D2E"/>
    <w:rsid w:val="002533E7"/>
    <w:rsid w:val="002645FD"/>
    <w:rsid w:val="00270B47"/>
    <w:rsid w:val="00294D28"/>
    <w:rsid w:val="002959F1"/>
    <w:rsid w:val="002A0F1D"/>
    <w:rsid w:val="002A132A"/>
    <w:rsid w:val="002B0A6E"/>
    <w:rsid w:val="002B779F"/>
    <w:rsid w:val="002C1D27"/>
    <w:rsid w:val="002C4844"/>
    <w:rsid w:val="002D3CE8"/>
    <w:rsid w:val="002D4079"/>
    <w:rsid w:val="002E0BB7"/>
    <w:rsid w:val="002F305E"/>
    <w:rsid w:val="002F3D79"/>
    <w:rsid w:val="00303DB0"/>
    <w:rsid w:val="00307B2D"/>
    <w:rsid w:val="00310EB8"/>
    <w:rsid w:val="00315233"/>
    <w:rsid w:val="003157F1"/>
    <w:rsid w:val="00321551"/>
    <w:rsid w:val="00322EDE"/>
    <w:rsid w:val="00323AEC"/>
    <w:rsid w:val="00326F0D"/>
    <w:rsid w:val="003326CD"/>
    <w:rsid w:val="003341D4"/>
    <w:rsid w:val="00336C3B"/>
    <w:rsid w:val="00342436"/>
    <w:rsid w:val="00343C87"/>
    <w:rsid w:val="00350483"/>
    <w:rsid w:val="00367101"/>
    <w:rsid w:val="003704DC"/>
    <w:rsid w:val="00372276"/>
    <w:rsid w:val="00376862"/>
    <w:rsid w:val="00387ADE"/>
    <w:rsid w:val="00390651"/>
    <w:rsid w:val="003A216F"/>
    <w:rsid w:val="003A2D60"/>
    <w:rsid w:val="003B1077"/>
    <w:rsid w:val="003B40AA"/>
    <w:rsid w:val="003C12E5"/>
    <w:rsid w:val="003C7257"/>
    <w:rsid w:val="003D3B86"/>
    <w:rsid w:val="003E1618"/>
    <w:rsid w:val="003E5868"/>
    <w:rsid w:val="003F00D0"/>
    <w:rsid w:val="003F33C9"/>
    <w:rsid w:val="00404C0F"/>
    <w:rsid w:val="00410049"/>
    <w:rsid w:val="0041311E"/>
    <w:rsid w:val="00414244"/>
    <w:rsid w:val="004145A1"/>
    <w:rsid w:val="00415269"/>
    <w:rsid w:val="00420590"/>
    <w:rsid w:val="00426DC0"/>
    <w:rsid w:val="004439F8"/>
    <w:rsid w:val="0044504E"/>
    <w:rsid w:val="00446664"/>
    <w:rsid w:val="00447457"/>
    <w:rsid w:val="004630E2"/>
    <w:rsid w:val="00474BE1"/>
    <w:rsid w:val="004A17E5"/>
    <w:rsid w:val="004A2BB5"/>
    <w:rsid w:val="004B0F61"/>
    <w:rsid w:val="004B166B"/>
    <w:rsid w:val="004B250C"/>
    <w:rsid w:val="004B3106"/>
    <w:rsid w:val="004B33F3"/>
    <w:rsid w:val="004B6CE4"/>
    <w:rsid w:val="004C114E"/>
    <w:rsid w:val="004E0E49"/>
    <w:rsid w:val="004E6D2D"/>
    <w:rsid w:val="004F2FC4"/>
    <w:rsid w:val="004F404A"/>
    <w:rsid w:val="004F7256"/>
    <w:rsid w:val="00525E29"/>
    <w:rsid w:val="0054572B"/>
    <w:rsid w:val="00550002"/>
    <w:rsid w:val="005563CA"/>
    <w:rsid w:val="00557EBC"/>
    <w:rsid w:val="005977E6"/>
    <w:rsid w:val="00597A32"/>
    <w:rsid w:val="005A0DDA"/>
    <w:rsid w:val="005A1C69"/>
    <w:rsid w:val="005A4A56"/>
    <w:rsid w:val="005A5E03"/>
    <w:rsid w:val="005B6BA5"/>
    <w:rsid w:val="005C1C16"/>
    <w:rsid w:val="005C3CDE"/>
    <w:rsid w:val="005D3BC6"/>
    <w:rsid w:val="005E49DC"/>
    <w:rsid w:val="005E733F"/>
    <w:rsid w:val="005F1502"/>
    <w:rsid w:val="005F1DE2"/>
    <w:rsid w:val="006037EC"/>
    <w:rsid w:val="0060688C"/>
    <w:rsid w:val="0061356D"/>
    <w:rsid w:val="00616CA9"/>
    <w:rsid w:val="00620E99"/>
    <w:rsid w:val="00623BE6"/>
    <w:rsid w:val="00633199"/>
    <w:rsid w:val="0063772C"/>
    <w:rsid w:val="0065385B"/>
    <w:rsid w:val="0065690E"/>
    <w:rsid w:val="0066368E"/>
    <w:rsid w:val="00664B6F"/>
    <w:rsid w:val="00667AD3"/>
    <w:rsid w:val="0067025A"/>
    <w:rsid w:val="00670F58"/>
    <w:rsid w:val="00673D1A"/>
    <w:rsid w:val="006746C1"/>
    <w:rsid w:val="00675740"/>
    <w:rsid w:val="00675957"/>
    <w:rsid w:val="00676353"/>
    <w:rsid w:val="00682BD7"/>
    <w:rsid w:val="00683494"/>
    <w:rsid w:val="0068432C"/>
    <w:rsid w:val="006A102A"/>
    <w:rsid w:val="006A2356"/>
    <w:rsid w:val="006A529B"/>
    <w:rsid w:val="006A6B19"/>
    <w:rsid w:val="006B45AA"/>
    <w:rsid w:val="006B45B2"/>
    <w:rsid w:val="006B6E37"/>
    <w:rsid w:val="006C1DB5"/>
    <w:rsid w:val="006C7C56"/>
    <w:rsid w:val="006E2D03"/>
    <w:rsid w:val="006F3EE4"/>
    <w:rsid w:val="00703019"/>
    <w:rsid w:val="00705FA4"/>
    <w:rsid w:val="0071408A"/>
    <w:rsid w:val="00715530"/>
    <w:rsid w:val="007540F2"/>
    <w:rsid w:val="00762662"/>
    <w:rsid w:val="0077676D"/>
    <w:rsid w:val="007772F3"/>
    <w:rsid w:val="00777301"/>
    <w:rsid w:val="0078554B"/>
    <w:rsid w:val="00786242"/>
    <w:rsid w:val="00791B1A"/>
    <w:rsid w:val="00791FE7"/>
    <w:rsid w:val="0079640D"/>
    <w:rsid w:val="007A61F4"/>
    <w:rsid w:val="007D2D5D"/>
    <w:rsid w:val="007D5924"/>
    <w:rsid w:val="007E165C"/>
    <w:rsid w:val="007F3779"/>
    <w:rsid w:val="008318B7"/>
    <w:rsid w:val="00834F2F"/>
    <w:rsid w:val="008370EB"/>
    <w:rsid w:val="0085507F"/>
    <w:rsid w:val="008551B6"/>
    <w:rsid w:val="00863C25"/>
    <w:rsid w:val="008711BD"/>
    <w:rsid w:val="00883DA0"/>
    <w:rsid w:val="0089451D"/>
    <w:rsid w:val="008965CF"/>
    <w:rsid w:val="008A2ED6"/>
    <w:rsid w:val="008A69F5"/>
    <w:rsid w:val="008A6EF9"/>
    <w:rsid w:val="008B55CD"/>
    <w:rsid w:val="008B7A11"/>
    <w:rsid w:val="008C3CE4"/>
    <w:rsid w:val="008D2D6F"/>
    <w:rsid w:val="008E52CF"/>
    <w:rsid w:val="00922EC7"/>
    <w:rsid w:val="0092383D"/>
    <w:rsid w:val="00930CFF"/>
    <w:rsid w:val="009438F0"/>
    <w:rsid w:val="009440F5"/>
    <w:rsid w:val="0094431F"/>
    <w:rsid w:val="00971324"/>
    <w:rsid w:val="009814A4"/>
    <w:rsid w:val="00982616"/>
    <w:rsid w:val="00990604"/>
    <w:rsid w:val="00992DEF"/>
    <w:rsid w:val="00993272"/>
    <w:rsid w:val="009970B4"/>
    <w:rsid w:val="009B0442"/>
    <w:rsid w:val="009B38D1"/>
    <w:rsid w:val="009B459B"/>
    <w:rsid w:val="009C5554"/>
    <w:rsid w:val="009D12BA"/>
    <w:rsid w:val="009D232B"/>
    <w:rsid w:val="009D5FA7"/>
    <w:rsid w:val="009E3B4F"/>
    <w:rsid w:val="009F4258"/>
    <w:rsid w:val="00A019CA"/>
    <w:rsid w:val="00A15A67"/>
    <w:rsid w:val="00A17551"/>
    <w:rsid w:val="00A21D2E"/>
    <w:rsid w:val="00A233C1"/>
    <w:rsid w:val="00A25456"/>
    <w:rsid w:val="00A27049"/>
    <w:rsid w:val="00A274A1"/>
    <w:rsid w:val="00A33D92"/>
    <w:rsid w:val="00A345EA"/>
    <w:rsid w:val="00A37AF6"/>
    <w:rsid w:val="00A46ABD"/>
    <w:rsid w:val="00A5199D"/>
    <w:rsid w:val="00A76FED"/>
    <w:rsid w:val="00A76FF0"/>
    <w:rsid w:val="00A778B1"/>
    <w:rsid w:val="00A82C9E"/>
    <w:rsid w:val="00AA6527"/>
    <w:rsid w:val="00AB5D03"/>
    <w:rsid w:val="00AC796C"/>
    <w:rsid w:val="00AD0442"/>
    <w:rsid w:val="00AF6750"/>
    <w:rsid w:val="00B05079"/>
    <w:rsid w:val="00B15750"/>
    <w:rsid w:val="00B201E2"/>
    <w:rsid w:val="00B30225"/>
    <w:rsid w:val="00B31317"/>
    <w:rsid w:val="00B37A5A"/>
    <w:rsid w:val="00B42FAD"/>
    <w:rsid w:val="00B60727"/>
    <w:rsid w:val="00B621FC"/>
    <w:rsid w:val="00B62D55"/>
    <w:rsid w:val="00B648DD"/>
    <w:rsid w:val="00B675A7"/>
    <w:rsid w:val="00B93B2D"/>
    <w:rsid w:val="00BA0BF0"/>
    <w:rsid w:val="00BA2962"/>
    <w:rsid w:val="00BA5D5A"/>
    <w:rsid w:val="00BB0A64"/>
    <w:rsid w:val="00BB2ECA"/>
    <w:rsid w:val="00BC31E5"/>
    <w:rsid w:val="00BC73DB"/>
    <w:rsid w:val="00BD0095"/>
    <w:rsid w:val="00BD05C5"/>
    <w:rsid w:val="00BD20A3"/>
    <w:rsid w:val="00BD27EB"/>
    <w:rsid w:val="00BD2DB2"/>
    <w:rsid w:val="00BD3993"/>
    <w:rsid w:val="00BD4464"/>
    <w:rsid w:val="00BE35E9"/>
    <w:rsid w:val="00BE7DD6"/>
    <w:rsid w:val="00BF0150"/>
    <w:rsid w:val="00BF1377"/>
    <w:rsid w:val="00BF3A0A"/>
    <w:rsid w:val="00C01DA8"/>
    <w:rsid w:val="00C10E62"/>
    <w:rsid w:val="00C12CC6"/>
    <w:rsid w:val="00C21AD2"/>
    <w:rsid w:val="00C25653"/>
    <w:rsid w:val="00C30BCF"/>
    <w:rsid w:val="00C37CEE"/>
    <w:rsid w:val="00C41AC8"/>
    <w:rsid w:val="00C5079B"/>
    <w:rsid w:val="00C51E5A"/>
    <w:rsid w:val="00C577B6"/>
    <w:rsid w:val="00C60CDB"/>
    <w:rsid w:val="00C60F52"/>
    <w:rsid w:val="00C62CEA"/>
    <w:rsid w:val="00C653A4"/>
    <w:rsid w:val="00C70C24"/>
    <w:rsid w:val="00C93E78"/>
    <w:rsid w:val="00C93EBB"/>
    <w:rsid w:val="00CA5CBF"/>
    <w:rsid w:val="00CB22C4"/>
    <w:rsid w:val="00CC7C42"/>
    <w:rsid w:val="00CD5688"/>
    <w:rsid w:val="00CF092D"/>
    <w:rsid w:val="00CF55C3"/>
    <w:rsid w:val="00CF687D"/>
    <w:rsid w:val="00CF7D0A"/>
    <w:rsid w:val="00D03D10"/>
    <w:rsid w:val="00D03DEA"/>
    <w:rsid w:val="00D11859"/>
    <w:rsid w:val="00D121DF"/>
    <w:rsid w:val="00D2038A"/>
    <w:rsid w:val="00D44E5F"/>
    <w:rsid w:val="00D60008"/>
    <w:rsid w:val="00D61CEF"/>
    <w:rsid w:val="00D76254"/>
    <w:rsid w:val="00D93661"/>
    <w:rsid w:val="00DA14AC"/>
    <w:rsid w:val="00DB24F6"/>
    <w:rsid w:val="00DB3D47"/>
    <w:rsid w:val="00DC4090"/>
    <w:rsid w:val="00DC555F"/>
    <w:rsid w:val="00DD1167"/>
    <w:rsid w:val="00DE528E"/>
    <w:rsid w:val="00DE5699"/>
    <w:rsid w:val="00DF135F"/>
    <w:rsid w:val="00DF41D5"/>
    <w:rsid w:val="00E03D67"/>
    <w:rsid w:val="00E042E2"/>
    <w:rsid w:val="00E22A1E"/>
    <w:rsid w:val="00E27392"/>
    <w:rsid w:val="00E307F2"/>
    <w:rsid w:val="00E31923"/>
    <w:rsid w:val="00E32E7D"/>
    <w:rsid w:val="00E379E7"/>
    <w:rsid w:val="00E60E02"/>
    <w:rsid w:val="00E61CB1"/>
    <w:rsid w:val="00E657D7"/>
    <w:rsid w:val="00E87461"/>
    <w:rsid w:val="00E90E0E"/>
    <w:rsid w:val="00E922BD"/>
    <w:rsid w:val="00E96926"/>
    <w:rsid w:val="00EA066A"/>
    <w:rsid w:val="00EA23EF"/>
    <w:rsid w:val="00EA7EA0"/>
    <w:rsid w:val="00EB40E4"/>
    <w:rsid w:val="00EB5BDB"/>
    <w:rsid w:val="00EC4EA3"/>
    <w:rsid w:val="00EC7B8F"/>
    <w:rsid w:val="00ED799F"/>
    <w:rsid w:val="00F03FC8"/>
    <w:rsid w:val="00F27164"/>
    <w:rsid w:val="00F3208B"/>
    <w:rsid w:val="00F34BDC"/>
    <w:rsid w:val="00F364B8"/>
    <w:rsid w:val="00F50B3F"/>
    <w:rsid w:val="00F54E12"/>
    <w:rsid w:val="00F56DD9"/>
    <w:rsid w:val="00F57F42"/>
    <w:rsid w:val="00F711E7"/>
    <w:rsid w:val="00F81233"/>
    <w:rsid w:val="00F87FC2"/>
    <w:rsid w:val="00F91FB2"/>
    <w:rsid w:val="00FA37DC"/>
    <w:rsid w:val="00FB00E7"/>
    <w:rsid w:val="00FB3A68"/>
    <w:rsid w:val="00FB4F17"/>
    <w:rsid w:val="00FC6319"/>
    <w:rsid w:val="00FD5A10"/>
    <w:rsid w:val="00FD6240"/>
    <w:rsid w:val="00FD74C3"/>
    <w:rsid w:val="00FE5B7C"/>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27D4F-388C-4CCC-9A01-5370E61F2440}"/>
  <w14:docId w14:val="614AED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7F"/>
    <w:pPr>
      <w:ind w:left="720"/>
      <w:contextualSpacing/>
    </w:pPr>
  </w:style>
  <w:style w:type="paragraph" w:styleId="FootnoteText">
    <w:name w:val="footnote text"/>
    <w:basedOn w:val="Normal"/>
    <w:link w:val="FootnoteTextChar"/>
    <w:uiPriority w:val="99"/>
    <w:semiHidden/>
    <w:unhideWhenUsed/>
    <w:rsid w:val="00A01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9CA"/>
    <w:rPr>
      <w:sz w:val="20"/>
      <w:szCs w:val="20"/>
    </w:rPr>
  </w:style>
  <w:style w:type="character" w:styleId="FootnoteReference">
    <w:name w:val="footnote reference"/>
    <w:basedOn w:val="DefaultParagraphFont"/>
    <w:uiPriority w:val="99"/>
    <w:semiHidden/>
    <w:unhideWhenUsed/>
    <w:rsid w:val="00A019CA"/>
    <w:rPr>
      <w:vertAlign w:val="superscript"/>
    </w:rPr>
  </w:style>
  <w:style w:type="table" w:styleId="TableGrid">
    <w:name w:val="Table Grid"/>
    <w:basedOn w:val="TableNormal"/>
    <w:uiPriority w:val="59"/>
    <w:rsid w:val="002370E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92"/>
    <w:rPr>
      <w:rFonts w:ascii="Tahoma" w:hAnsi="Tahoma" w:cs="Tahoma"/>
      <w:sz w:val="16"/>
      <w:szCs w:val="16"/>
    </w:rPr>
  </w:style>
  <w:style w:type="character" w:styleId="CommentReference">
    <w:name w:val="annotation reference"/>
    <w:basedOn w:val="DefaultParagraphFont"/>
    <w:uiPriority w:val="99"/>
    <w:semiHidden/>
    <w:unhideWhenUsed/>
    <w:rsid w:val="00073518"/>
    <w:rPr>
      <w:sz w:val="16"/>
      <w:szCs w:val="16"/>
    </w:rPr>
  </w:style>
  <w:style w:type="paragraph" w:styleId="CommentText">
    <w:name w:val="annotation text"/>
    <w:basedOn w:val="Normal"/>
    <w:link w:val="CommentTextChar"/>
    <w:uiPriority w:val="99"/>
    <w:semiHidden/>
    <w:unhideWhenUsed/>
    <w:rsid w:val="00073518"/>
    <w:pPr>
      <w:spacing w:line="240" w:lineRule="auto"/>
    </w:pPr>
    <w:rPr>
      <w:sz w:val="20"/>
      <w:szCs w:val="20"/>
    </w:rPr>
  </w:style>
  <w:style w:type="character" w:customStyle="1" w:styleId="CommentTextChar">
    <w:name w:val="Comment Text Char"/>
    <w:basedOn w:val="DefaultParagraphFont"/>
    <w:link w:val="CommentText"/>
    <w:uiPriority w:val="99"/>
    <w:semiHidden/>
    <w:rsid w:val="00073518"/>
    <w:rPr>
      <w:sz w:val="20"/>
      <w:szCs w:val="20"/>
    </w:rPr>
  </w:style>
  <w:style w:type="paragraph" w:styleId="CommentSubject">
    <w:name w:val="annotation subject"/>
    <w:basedOn w:val="CommentText"/>
    <w:next w:val="CommentText"/>
    <w:link w:val="CommentSubjectChar"/>
    <w:uiPriority w:val="99"/>
    <w:semiHidden/>
    <w:unhideWhenUsed/>
    <w:rsid w:val="00073518"/>
    <w:rPr>
      <w:b/>
      <w:bCs/>
    </w:rPr>
  </w:style>
  <w:style w:type="character" w:customStyle="1" w:styleId="CommentSubjectChar">
    <w:name w:val="Comment Subject Char"/>
    <w:basedOn w:val="CommentTextChar"/>
    <w:link w:val="CommentSubject"/>
    <w:uiPriority w:val="99"/>
    <w:semiHidden/>
    <w:rsid w:val="00073518"/>
    <w:rPr>
      <w:b/>
      <w:bCs/>
      <w:sz w:val="20"/>
      <w:szCs w:val="20"/>
    </w:rPr>
  </w:style>
  <w:style w:type="paragraph" w:styleId="Header">
    <w:name w:val="header"/>
    <w:basedOn w:val="Normal"/>
    <w:link w:val="HeaderChar"/>
    <w:uiPriority w:val="99"/>
    <w:unhideWhenUsed/>
    <w:rsid w:val="003E5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68"/>
  </w:style>
  <w:style w:type="paragraph" w:styleId="Footer">
    <w:name w:val="footer"/>
    <w:basedOn w:val="Normal"/>
    <w:link w:val="FooterChar"/>
    <w:uiPriority w:val="99"/>
    <w:unhideWhenUsed/>
    <w:rsid w:val="003E5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68"/>
  </w:style>
  <w:style w:type="character" w:styleId="Hyperlink">
    <w:name w:val="Hyperlink"/>
    <w:basedOn w:val="DefaultParagraphFont"/>
    <w:uiPriority w:val="99"/>
    <w:semiHidden/>
    <w:unhideWhenUsed/>
    <w:rsid w:val="005A1C69"/>
    <w:rPr>
      <w:strike w:val="0"/>
      <w:dstrike w:val="0"/>
      <w:color w:val="0072BC"/>
      <w:u w:val="none"/>
      <w:effect w:val="none"/>
    </w:rPr>
  </w:style>
  <w:style w:type="character" w:styleId="Strong">
    <w:name w:val="Strong"/>
    <w:basedOn w:val="DefaultParagraphFont"/>
    <w:uiPriority w:val="22"/>
    <w:qFormat/>
    <w:rsid w:val="005A1C69"/>
    <w:rPr>
      <w:b/>
      <w:bCs/>
    </w:rPr>
  </w:style>
  <w:style w:type="paragraph" w:styleId="NormalWeb">
    <w:name w:val="Normal (Web)"/>
    <w:basedOn w:val="Normal"/>
    <w:uiPriority w:val="99"/>
    <w:semiHidden/>
    <w:unhideWhenUsed/>
    <w:rsid w:val="00BD3993"/>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3846">
      <w:bodyDiv w:val="1"/>
      <w:marLeft w:val="0"/>
      <w:marRight w:val="0"/>
      <w:marTop w:val="0"/>
      <w:marBottom w:val="0"/>
      <w:divBdr>
        <w:top w:val="none" w:sz="0" w:space="0" w:color="auto"/>
        <w:left w:val="none" w:sz="0" w:space="0" w:color="auto"/>
        <w:bottom w:val="none" w:sz="0" w:space="0" w:color="auto"/>
        <w:right w:val="none" w:sz="0" w:space="0" w:color="auto"/>
      </w:divBdr>
      <w:divsChild>
        <w:div w:id="1054229933">
          <w:marLeft w:val="0"/>
          <w:marRight w:val="0"/>
          <w:marTop w:val="0"/>
          <w:marBottom w:val="0"/>
          <w:divBdr>
            <w:top w:val="none" w:sz="0" w:space="0" w:color="auto"/>
            <w:left w:val="none" w:sz="0" w:space="0" w:color="auto"/>
            <w:bottom w:val="none" w:sz="0" w:space="0" w:color="auto"/>
            <w:right w:val="none" w:sz="0" w:space="0" w:color="auto"/>
          </w:divBdr>
          <w:divsChild>
            <w:div w:id="1724139583">
              <w:marLeft w:val="0"/>
              <w:marRight w:val="0"/>
              <w:marTop w:val="0"/>
              <w:marBottom w:val="0"/>
              <w:divBdr>
                <w:top w:val="none" w:sz="0" w:space="0" w:color="auto"/>
                <w:left w:val="none" w:sz="0" w:space="0" w:color="auto"/>
                <w:bottom w:val="none" w:sz="0" w:space="0" w:color="auto"/>
                <w:right w:val="none" w:sz="0" w:space="0" w:color="auto"/>
              </w:divBdr>
              <w:divsChild>
                <w:div w:id="18505914">
                  <w:marLeft w:val="0"/>
                  <w:marRight w:val="0"/>
                  <w:marTop w:val="0"/>
                  <w:marBottom w:val="300"/>
                  <w:divBdr>
                    <w:top w:val="none" w:sz="0" w:space="0" w:color="auto"/>
                    <w:left w:val="none" w:sz="0" w:space="0" w:color="auto"/>
                    <w:bottom w:val="none" w:sz="0" w:space="0" w:color="auto"/>
                    <w:right w:val="none" w:sz="0" w:space="0" w:color="auto"/>
                  </w:divBdr>
                  <w:divsChild>
                    <w:div w:id="1513908441">
                      <w:marLeft w:val="2325"/>
                      <w:marRight w:val="0"/>
                      <w:marTop w:val="0"/>
                      <w:marBottom w:val="0"/>
                      <w:divBdr>
                        <w:top w:val="none" w:sz="0" w:space="0" w:color="auto"/>
                        <w:left w:val="none" w:sz="0" w:space="0" w:color="auto"/>
                        <w:bottom w:val="none" w:sz="0" w:space="0" w:color="auto"/>
                        <w:right w:val="none" w:sz="0" w:space="0" w:color="auto"/>
                      </w:divBdr>
                      <w:divsChild>
                        <w:div w:id="771314546">
                          <w:marLeft w:val="0"/>
                          <w:marRight w:val="0"/>
                          <w:marTop w:val="0"/>
                          <w:marBottom w:val="0"/>
                          <w:divBdr>
                            <w:top w:val="none" w:sz="0" w:space="0" w:color="auto"/>
                            <w:left w:val="none" w:sz="0" w:space="0" w:color="auto"/>
                            <w:bottom w:val="none" w:sz="0" w:space="0" w:color="auto"/>
                            <w:right w:val="none" w:sz="0" w:space="0" w:color="auto"/>
                          </w:divBdr>
                          <w:divsChild>
                            <w:div w:id="1740328133">
                              <w:marLeft w:val="0"/>
                              <w:marRight w:val="0"/>
                              <w:marTop w:val="0"/>
                              <w:marBottom w:val="0"/>
                              <w:divBdr>
                                <w:top w:val="none" w:sz="0" w:space="0" w:color="auto"/>
                                <w:left w:val="none" w:sz="0" w:space="0" w:color="auto"/>
                                <w:bottom w:val="none" w:sz="0" w:space="0" w:color="auto"/>
                                <w:right w:val="none" w:sz="0" w:space="0" w:color="auto"/>
                              </w:divBdr>
                              <w:divsChild>
                                <w:div w:id="48383627">
                                  <w:marLeft w:val="0"/>
                                  <w:marRight w:val="0"/>
                                  <w:marTop w:val="0"/>
                                  <w:marBottom w:val="0"/>
                                  <w:divBdr>
                                    <w:top w:val="none" w:sz="0" w:space="0" w:color="auto"/>
                                    <w:left w:val="none" w:sz="0" w:space="0" w:color="auto"/>
                                    <w:bottom w:val="none" w:sz="0" w:space="0" w:color="auto"/>
                                    <w:right w:val="none" w:sz="0" w:space="0" w:color="auto"/>
                                  </w:divBdr>
                                  <w:divsChild>
                                    <w:div w:id="107235223">
                                      <w:marLeft w:val="0"/>
                                      <w:marRight w:val="0"/>
                                      <w:marTop w:val="0"/>
                                      <w:marBottom w:val="0"/>
                                      <w:divBdr>
                                        <w:top w:val="none" w:sz="0" w:space="0" w:color="auto"/>
                                        <w:left w:val="none" w:sz="0" w:space="0" w:color="auto"/>
                                        <w:bottom w:val="none" w:sz="0" w:space="0" w:color="auto"/>
                                        <w:right w:val="none" w:sz="0" w:space="0" w:color="auto"/>
                                      </w:divBdr>
                                      <w:divsChild>
                                        <w:div w:id="1401176272">
                                          <w:marLeft w:val="0"/>
                                          <w:marRight w:val="-3525"/>
                                          <w:marTop w:val="0"/>
                                          <w:marBottom w:val="0"/>
                                          <w:divBdr>
                                            <w:top w:val="none" w:sz="0" w:space="0" w:color="auto"/>
                                            <w:left w:val="none" w:sz="0" w:space="0" w:color="auto"/>
                                            <w:bottom w:val="none" w:sz="0" w:space="0" w:color="auto"/>
                                            <w:right w:val="none" w:sz="0" w:space="0" w:color="auto"/>
                                          </w:divBdr>
                                          <w:divsChild>
                                            <w:div w:id="1569534658">
                                              <w:marLeft w:val="0"/>
                                              <w:marRight w:val="3225"/>
                                              <w:marTop w:val="0"/>
                                              <w:marBottom w:val="0"/>
                                              <w:divBdr>
                                                <w:top w:val="none" w:sz="0" w:space="0" w:color="auto"/>
                                                <w:left w:val="none" w:sz="0" w:space="0" w:color="auto"/>
                                                <w:bottom w:val="none" w:sz="0" w:space="0" w:color="auto"/>
                                                <w:right w:val="none" w:sz="0" w:space="0" w:color="auto"/>
                                              </w:divBdr>
                                              <w:divsChild>
                                                <w:div w:id="1793132710">
                                                  <w:marLeft w:val="15"/>
                                                  <w:marRight w:val="15"/>
                                                  <w:marTop w:val="15"/>
                                                  <w:marBottom w:val="15"/>
                                                  <w:divBdr>
                                                    <w:top w:val="none" w:sz="0" w:space="0" w:color="auto"/>
                                                    <w:left w:val="none" w:sz="0" w:space="0" w:color="auto"/>
                                                    <w:bottom w:val="none" w:sz="0" w:space="0" w:color="auto"/>
                                                    <w:right w:val="none" w:sz="0" w:space="0" w:color="auto"/>
                                                  </w:divBdr>
                                                  <w:divsChild>
                                                    <w:div w:id="2118596795">
                                                      <w:marLeft w:val="0"/>
                                                      <w:marRight w:val="0"/>
                                                      <w:marTop w:val="0"/>
                                                      <w:marBottom w:val="0"/>
                                                      <w:divBdr>
                                                        <w:top w:val="none" w:sz="0" w:space="0" w:color="auto"/>
                                                        <w:left w:val="none" w:sz="0" w:space="0" w:color="auto"/>
                                                        <w:bottom w:val="none" w:sz="0" w:space="0" w:color="auto"/>
                                                        <w:right w:val="none" w:sz="0" w:space="0" w:color="auto"/>
                                                      </w:divBdr>
                                                      <w:divsChild>
                                                        <w:div w:id="1297371479">
                                                          <w:marLeft w:val="0"/>
                                                          <w:marRight w:val="0"/>
                                                          <w:marTop w:val="0"/>
                                                          <w:marBottom w:val="0"/>
                                                          <w:divBdr>
                                                            <w:top w:val="none" w:sz="0" w:space="0" w:color="auto"/>
                                                            <w:left w:val="none" w:sz="0" w:space="0" w:color="auto"/>
                                                            <w:bottom w:val="none" w:sz="0" w:space="0" w:color="auto"/>
                                                            <w:right w:val="none" w:sz="0" w:space="0" w:color="auto"/>
                                                          </w:divBdr>
                                                        </w:div>
                                                        <w:div w:id="165753835">
                                                          <w:marLeft w:val="0"/>
                                                          <w:marRight w:val="0"/>
                                                          <w:marTop w:val="0"/>
                                                          <w:marBottom w:val="0"/>
                                                          <w:divBdr>
                                                            <w:top w:val="none" w:sz="0" w:space="0" w:color="auto"/>
                                                            <w:left w:val="none" w:sz="0" w:space="0" w:color="auto"/>
                                                            <w:bottom w:val="none" w:sz="0" w:space="0" w:color="auto"/>
                                                            <w:right w:val="none" w:sz="0" w:space="0" w:color="auto"/>
                                                          </w:divBdr>
                                                        </w:div>
                                                        <w:div w:id="1132753371">
                                                          <w:marLeft w:val="0"/>
                                                          <w:marRight w:val="0"/>
                                                          <w:marTop w:val="0"/>
                                                          <w:marBottom w:val="0"/>
                                                          <w:divBdr>
                                                            <w:top w:val="none" w:sz="0" w:space="0" w:color="auto"/>
                                                            <w:left w:val="none" w:sz="0" w:space="0" w:color="auto"/>
                                                            <w:bottom w:val="none" w:sz="0" w:space="0" w:color="auto"/>
                                                            <w:right w:val="none" w:sz="0" w:space="0" w:color="auto"/>
                                                          </w:divBdr>
                                                        </w:div>
                                                        <w:div w:id="444152975">
                                                          <w:marLeft w:val="0"/>
                                                          <w:marRight w:val="0"/>
                                                          <w:marTop w:val="0"/>
                                                          <w:marBottom w:val="0"/>
                                                          <w:divBdr>
                                                            <w:top w:val="none" w:sz="0" w:space="0" w:color="auto"/>
                                                            <w:left w:val="none" w:sz="0" w:space="0" w:color="auto"/>
                                                            <w:bottom w:val="none" w:sz="0" w:space="0" w:color="auto"/>
                                                            <w:right w:val="none" w:sz="0" w:space="0" w:color="auto"/>
                                                          </w:divBdr>
                                                        </w:div>
                                                        <w:div w:id="1638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364971">
      <w:bodyDiv w:val="1"/>
      <w:marLeft w:val="0"/>
      <w:marRight w:val="0"/>
      <w:marTop w:val="0"/>
      <w:marBottom w:val="0"/>
      <w:divBdr>
        <w:top w:val="none" w:sz="0" w:space="0" w:color="auto"/>
        <w:left w:val="none" w:sz="0" w:space="0" w:color="auto"/>
        <w:bottom w:val="none" w:sz="0" w:space="0" w:color="auto"/>
        <w:right w:val="none" w:sz="0" w:space="0" w:color="auto"/>
      </w:divBdr>
      <w:divsChild>
        <w:div w:id="1746297378">
          <w:marLeft w:val="0"/>
          <w:marRight w:val="0"/>
          <w:marTop w:val="0"/>
          <w:marBottom w:val="0"/>
          <w:divBdr>
            <w:top w:val="none" w:sz="0" w:space="0" w:color="auto"/>
            <w:left w:val="none" w:sz="0" w:space="0" w:color="auto"/>
            <w:bottom w:val="none" w:sz="0" w:space="0" w:color="auto"/>
            <w:right w:val="none" w:sz="0" w:space="0" w:color="auto"/>
          </w:divBdr>
          <w:divsChild>
            <w:div w:id="1692955302">
              <w:marLeft w:val="0"/>
              <w:marRight w:val="0"/>
              <w:marTop w:val="0"/>
              <w:marBottom w:val="0"/>
              <w:divBdr>
                <w:top w:val="none" w:sz="0" w:space="0" w:color="auto"/>
                <w:left w:val="none" w:sz="0" w:space="0" w:color="auto"/>
                <w:bottom w:val="none" w:sz="0" w:space="0" w:color="auto"/>
                <w:right w:val="none" w:sz="0" w:space="0" w:color="auto"/>
              </w:divBdr>
              <w:divsChild>
                <w:div w:id="51004667">
                  <w:marLeft w:val="0"/>
                  <w:marRight w:val="0"/>
                  <w:marTop w:val="0"/>
                  <w:marBottom w:val="300"/>
                  <w:divBdr>
                    <w:top w:val="none" w:sz="0" w:space="0" w:color="auto"/>
                    <w:left w:val="none" w:sz="0" w:space="0" w:color="auto"/>
                    <w:bottom w:val="none" w:sz="0" w:space="0" w:color="auto"/>
                    <w:right w:val="none" w:sz="0" w:space="0" w:color="auto"/>
                  </w:divBdr>
                  <w:divsChild>
                    <w:div w:id="2071726681">
                      <w:marLeft w:val="2325"/>
                      <w:marRight w:val="0"/>
                      <w:marTop w:val="0"/>
                      <w:marBottom w:val="0"/>
                      <w:divBdr>
                        <w:top w:val="none" w:sz="0" w:space="0" w:color="auto"/>
                        <w:left w:val="none" w:sz="0" w:space="0" w:color="auto"/>
                        <w:bottom w:val="none" w:sz="0" w:space="0" w:color="auto"/>
                        <w:right w:val="none" w:sz="0" w:space="0" w:color="auto"/>
                      </w:divBdr>
                      <w:divsChild>
                        <w:div w:id="2142377495">
                          <w:marLeft w:val="0"/>
                          <w:marRight w:val="0"/>
                          <w:marTop w:val="0"/>
                          <w:marBottom w:val="0"/>
                          <w:divBdr>
                            <w:top w:val="none" w:sz="0" w:space="0" w:color="auto"/>
                            <w:left w:val="none" w:sz="0" w:space="0" w:color="auto"/>
                            <w:bottom w:val="none" w:sz="0" w:space="0" w:color="auto"/>
                            <w:right w:val="none" w:sz="0" w:space="0" w:color="auto"/>
                          </w:divBdr>
                          <w:divsChild>
                            <w:div w:id="1669399802">
                              <w:marLeft w:val="0"/>
                              <w:marRight w:val="0"/>
                              <w:marTop w:val="0"/>
                              <w:marBottom w:val="0"/>
                              <w:divBdr>
                                <w:top w:val="none" w:sz="0" w:space="0" w:color="auto"/>
                                <w:left w:val="none" w:sz="0" w:space="0" w:color="auto"/>
                                <w:bottom w:val="none" w:sz="0" w:space="0" w:color="auto"/>
                                <w:right w:val="none" w:sz="0" w:space="0" w:color="auto"/>
                              </w:divBdr>
                              <w:divsChild>
                                <w:div w:id="1185288059">
                                  <w:marLeft w:val="0"/>
                                  <w:marRight w:val="0"/>
                                  <w:marTop w:val="0"/>
                                  <w:marBottom w:val="0"/>
                                  <w:divBdr>
                                    <w:top w:val="none" w:sz="0" w:space="0" w:color="auto"/>
                                    <w:left w:val="none" w:sz="0" w:space="0" w:color="auto"/>
                                    <w:bottom w:val="none" w:sz="0" w:space="0" w:color="auto"/>
                                    <w:right w:val="none" w:sz="0" w:space="0" w:color="auto"/>
                                  </w:divBdr>
                                  <w:divsChild>
                                    <w:div w:id="1619995633">
                                      <w:marLeft w:val="0"/>
                                      <w:marRight w:val="0"/>
                                      <w:marTop w:val="0"/>
                                      <w:marBottom w:val="0"/>
                                      <w:divBdr>
                                        <w:top w:val="none" w:sz="0" w:space="0" w:color="auto"/>
                                        <w:left w:val="none" w:sz="0" w:space="0" w:color="auto"/>
                                        <w:bottom w:val="none" w:sz="0" w:space="0" w:color="auto"/>
                                        <w:right w:val="none" w:sz="0" w:space="0" w:color="auto"/>
                                      </w:divBdr>
                                      <w:divsChild>
                                        <w:div w:id="787310431">
                                          <w:marLeft w:val="0"/>
                                          <w:marRight w:val="-3525"/>
                                          <w:marTop w:val="0"/>
                                          <w:marBottom w:val="0"/>
                                          <w:divBdr>
                                            <w:top w:val="none" w:sz="0" w:space="0" w:color="auto"/>
                                            <w:left w:val="none" w:sz="0" w:space="0" w:color="auto"/>
                                            <w:bottom w:val="none" w:sz="0" w:space="0" w:color="auto"/>
                                            <w:right w:val="none" w:sz="0" w:space="0" w:color="auto"/>
                                          </w:divBdr>
                                          <w:divsChild>
                                            <w:div w:id="107313762">
                                              <w:marLeft w:val="0"/>
                                              <w:marRight w:val="3225"/>
                                              <w:marTop w:val="0"/>
                                              <w:marBottom w:val="0"/>
                                              <w:divBdr>
                                                <w:top w:val="none" w:sz="0" w:space="0" w:color="auto"/>
                                                <w:left w:val="none" w:sz="0" w:space="0" w:color="auto"/>
                                                <w:bottom w:val="none" w:sz="0" w:space="0" w:color="auto"/>
                                                <w:right w:val="none" w:sz="0" w:space="0" w:color="auto"/>
                                              </w:divBdr>
                                              <w:divsChild>
                                                <w:div w:id="891963238">
                                                  <w:marLeft w:val="0"/>
                                                  <w:marRight w:val="0"/>
                                                  <w:marTop w:val="0"/>
                                                  <w:marBottom w:val="150"/>
                                                  <w:divBdr>
                                                    <w:top w:val="none" w:sz="0" w:space="0" w:color="auto"/>
                                                    <w:left w:val="none" w:sz="0" w:space="0" w:color="auto"/>
                                                    <w:bottom w:val="none" w:sz="0" w:space="0" w:color="auto"/>
                                                    <w:right w:val="none" w:sz="0" w:space="0" w:color="auto"/>
                                                  </w:divBdr>
                                                </w:div>
                                                <w:div w:id="321585736">
                                                  <w:marLeft w:val="15"/>
                                                  <w:marRight w:val="15"/>
                                                  <w:marTop w:val="15"/>
                                                  <w:marBottom w:val="15"/>
                                                  <w:divBdr>
                                                    <w:top w:val="none" w:sz="0" w:space="0" w:color="auto"/>
                                                    <w:left w:val="none" w:sz="0" w:space="0" w:color="auto"/>
                                                    <w:bottom w:val="none" w:sz="0" w:space="0" w:color="auto"/>
                                                    <w:right w:val="none" w:sz="0" w:space="0" w:color="auto"/>
                                                  </w:divBdr>
                                                  <w:divsChild>
                                                    <w:div w:id="1232934415">
                                                      <w:marLeft w:val="0"/>
                                                      <w:marRight w:val="0"/>
                                                      <w:marTop w:val="0"/>
                                                      <w:marBottom w:val="0"/>
                                                      <w:divBdr>
                                                        <w:top w:val="none" w:sz="0" w:space="0" w:color="auto"/>
                                                        <w:left w:val="none" w:sz="0" w:space="0" w:color="auto"/>
                                                        <w:bottom w:val="none" w:sz="0" w:space="0" w:color="auto"/>
                                                        <w:right w:val="none" w:sz="0" w:space="0" w:color="auto"/>
                                                      </w:divBdr>
                                                    </w:div>
                                                    <w:div w:id="1306664857">
                                                      <w:marLeft w:val="0"/>
                                                      <w:marRight w:val="0"/>
                                                      <w:marTop w:val="0"/>
                                                      <w:marBottom w:val="0"/>
                                                      <w:divBdr>
                                                        <w:top w:val="none" w:sz="0" w:space="0" w:color="auto"/>
                                                        <w:left w:val="none" w:sz="0" w:space="0" w:color="auto"/>
                                                        <w:bottom w:val="none" w:sz="0" w:space="0" w:color="auto"/>
                                                        <w:right w:val="none" w:sz="0" w:space="0" w:color="auto"/>
                                                      </w:divBdr>
                                                    </w:div>
                                                    <w:div w:id="460534044">
                                                      <w:marLeft w:val="0"/>
                                                      <w:marRight w:val="0"/>
                                                      <w:marTop w:val="0"/>
                                                      <w:marBottom w:val="0"/>
                                                      <w:divBdr>
                                                        <w:top w:val="none" w:sz="0" w:space="0" w:color="auto"/>
                                                        <w:left w:val="none" w:sz="0" w:space="0" w:color="auto"/>
                                                        <w:bottom w:val="none" w:sz="0" w:space="0" w:color="auto"/>
                                                        <w:right w:val="none" w:sz="0" w:space="0" w:color="auto"/>
                                                      </w:divBdr>
                                                      <w:divsChild>
                                                        <w:div w:id="1396590511">
                                                          <w:marLeft w:val="0"/>
                                                          <w:marRight w:val="0"/>
                                                          <w:marTop w:val="0"/>
                                                          <w:marBottom w:val="0"/>
                                                          <w:divBdr>
                                                            <w:top w:val="none" w:sz="0" w:space="0" w:color="auto"/>
                                                            <w:left w:val="none" w:sz="0" w:space="0" w:color="auto"/>
                                                            <w:bottom w:val="none" w:sz="0" w:space="0" w:color="auto"/>
                                                            <w:right w:val="none" w:sz="0" w:space="0" w:color="auto"/>
                                                          </w:divBdr>
                                                        </w:div>
                                                        <w:div w:id="427384967">
                                                          <w:marLeft w:val="0"/>
                                                          <w:marRight w:val="0"/>
                                                          <w:marTop w:val="0"/>
                                                          <w:marBottom w:val="0"/>
                                                          <w:divBdr>
                                                            <w:top w:val="none" w:sz="0" w:space="0" w:color="auto"/>
                                                            <w:left w:val="none" w:sz="0" w:space="0" w:color="auto"/>
                                                            <w:bottom w:val="none" w:sz="0" w:space="0" w:color="auto"/>
                                                            <w:right w:val="none" w:sz="0" w:space="0" w:color="auto"/>
                                                          </w:divBdr>
                                                        </w:div>
                                                        <w:div w:id="1085952516">
                                                          <w:marLeft w:val="0"/>
                                                          <w:marRight w:val="0"/>
                                                          <w:marTop w:val="0"/>
                                                          <w:marBottom w:val="0"/>
                                                          <w:divBdr>
                                                            <w:top w:val="none" w:sz="0" w:space="0" w:color="auto"/>
                                                            <w:left w:val="none" w:sz="0" w:space="0" w:color="auto"/>
                                                            <w:bottom w:val="none" w:sz="0" w:space="0" w:color="auto"/>
                                                            <w:right w:val="none" w:sz="0" w:space="0" w:color="auto"/>
                                                          </w:divBdr>
                                                        </w:div>
                                                        <w:div w:id="7630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9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569918">
      <w:bodyDiv w:val="1"/>
      <w:marLeft w:val="0"/>
      <w:marRight w:val="0"/>
      <w:marTop w:val="0"/>
      <w:marBottom w:val="0"/>
      <w:divBdr>
        <w:top w:val="none" w:sz="0" w:space="0" w:color="auto"/>
        <w:left w:val="none" w:sz="0" w:space="0" w:color="auto"/>
        <w:bottom w:val="none" w:sz="0" w:space="0" w:color="auto"/>
        <w:right w:val="none" w:sz="0" w:space="0" w:color="auto"/>
      </w:divBdr>
      <w:divsChild>
        <w:div w:id="1075395200">
          <w:marLeft w:val="0"/>
          <w:marRight w:val="0"/>
          <w:marTop w:val="0"/>
          <w:marBottom w:val="0"/>
          <w:divBdr>
            <w:top w:val="none" w:sz="0" w:space="0" w:color="auto"/>
            <w:left w:val="none" w:sz="0" w:space="0" w:color="auto"/>
            <w:bottom w:val="none" w:sz="0" w:space="0" w:color="auto"/>
            <w:right w:val="none" w:sz="0" w:space="0" w:color="auto"/>
          </w:divBdr>
          <w:divsChild>
            <w:div w:id="1742678247">
              <w:marLeft w:val="0"/>
              <w:marRight w:val="0"/>
              <w:marTop w:val="0"/>
              <w:marBottom w:val="0"/>
              <w:divBdr>
                <w:top w:val="none" w:sz="0" w:space="0" w:color="auto"/>
                <w:left w:val="none" w:sz="0" w:space="0" w:color="auto"/>
                <w:bottom w:val="none" w:sz="0" w:space="0" w:color="auto"/>
                <w:right w:val="none" w:sz="0" w:space="0" w:color="auto"/>
              </w:divBdr>
              <w:divsChild>
                <w:div w:id="1790247058">
                  <w:marLeft w:val="0"/>
                  <w:marRight w:val="0"/>
                  <w:marTop w:val="0"/>
                  <w:marBottom w:val="300"/>
                  <w:divBdr>
                    <w:top w:val="none" w:sz="0" w:space="0" w:color="auto"/>
                    <w:left w:val="none" w:sz="0" w:space="0" w:color="auto"/>
                    <w:bottom w:val="none" w:sz="0" w:space="0" w:color="auto"/>
                    <w:right w:val="none" w:sz="0" w:space="0" w:color="auto"/>
                  </w:divBdr>
                  <w:divsChild>
                    <w:div w:id="143082363">
                      <w:marLeft w:val="2325"/>
                      <w:marRight w:val="0"/>
                      <w:marTop w:val="0"/>
                      <w:marBottom w:val="0"/>
                      <w:divBdr>
                        <w:top w:val="none" w:sz="0" w:space="0" w:color="auto"/>
                        <w:left w:val="none" w:sz="0" w:space="0" w:color="auto"/>
                        <w:bottom w:val="none" w:sz="0" w:space="0" w:color="auto"/>
                        <w:right w:val="none" w:sz="0" w:space="0" w:color="auto"/>
                      </w:divBdr>
                      <w:divsChild>
                        <w:div w:id="1574965703">
                          <w:marLeft w:val="0"/>
                          <w:marRight w:val="0"/>
                          <w:marTop w:val="0"/>
                          <w:marBottom w:val="0"/>
                          <w:divBdr>
                            <w:top w:val="none" w:sz="0" w:space="0" w:color="auto"/>
                            <w:left w:val="none" w:sz="0" w:space="0" w:color="auto"/>
                            <w:bottom w:val="none" w:sz="0" w:space="0" w:color="auto"/>
                            <w:right w:val="none" w:sz="0" w:space="0" w:color="auto"/>
                          </w:divBdr>
                          <w:divsChild>
                            <w:div w:id="112486083">
                              <w:marLeft w:val="0"/>
                              <w:marRight w:val="0"/>
                              <w:marTop w:val="0"/>
                              <w:marBottom w:val="0"/>
                              <w:divBdr>
                                <w:top w:val="none" w:sz="0" w:space="0" w:color="auto"/>
                                <w:left w:val="none" w:sz="0" w:space="0" w:color="auto"/>
                                <w:bottom w:val="none" w:sz="0" w:space="0" w:color="auto"/>
                                <w:right w:val="none" w:sz="0" w:space="0" w:color="auto"/>
                              </w:divBdr>
                              <w:divsChild>
                                <w:div w:id="1191644194">
                                  <w:marLeft w:val="0"/>
                                  <w:marRight w:val="0"/>
                                  <w:marTop w:val="0"/>
                                  <w:marBottom w:val="0"/>
                                  <w:divBdr>
                                    <w:top w:val="none" w:sz="0" w:space="0" w:color="auto"/>
                                    <w:left w:val="none" w:sz="0" w:space="0" w:color="auto"/>
                                    <w:bottom w:val="none" w:sz="0" w:space="0" w:color="auto"/>
                                    <w:right w:val="none" w:sz="0" w:space="0" w:color="auto"/>
                                  </w:divBdr>
                                  <w:divsChild>
                                    <w:div w:id="1047683271">
                                      <w:marLeft w:val="0"/>
                                      <w:marRight w:val="0"/>
                                      <w:marTop w:val="0"/>
                                      <w:marBottom w:val="0"/>
                                      <w:divBdr>
                                        <w:top w:val="none" w:sz="0" w:space="0" w:color="auto"/>
                                        <w:left w:val="none" w:sz="0" w:space="0" w:color="auto"/>
                                        <w:bottom w:val="none" w:sz="0" w:space="0" w:color="auto"/>
                                        <w:right w:val="none" w:sz="0" w:space="0" w:color="auto"/>
                                      </w:divBdr>
                                      <w:divsChild>
                                        <w:div w:id="188759733">
                                          <w:marLeft w:val="0"/>
                                          <w:marRight w:val="-3525"/>
                                          <w:marTop w:val="0"/>
                                          <w:marBottom w:val="0"/>
                                          <w:divBdr>
                                            <w:top w:val="none" w:sz="0" w:space="0" w:color="auto"/>
                                            <w:left w:val="none" w:sz="0" w:space="0" w:color="auto"/>
                                            <w:bottom w:val="none" w:sz="0" w:space="0" w:color="auto"/>
                                            <w:right w:val="none" w:sz="0" w:space="0" w:color="auto"/>
                                          </w:divBdr>
                                          <w:divsChild>
                                            <w:div w:id="1310553223">
                                              <w:marLeft w:val="0"/>
                                              <w:marRight w:val="3225"/>
                                              <w:marTop w:val="0"/>
                                              <w:marBottom w:val="0"/>
                                              <w:divBdr>
                                                <w:top w:val="none" w:sz="0" w:space="0" w:color="auto"/>
                                                <w:left w:val="none" w:sz="0" w:space="0" w:color="auto"/>
                                                <w:bottom w:val="none" w:sz="0" w:space="0" w:color="auto"/>
                                                <w:right w:val="none" w:sz="0" w:space="0" w:color="auto"/>
                                              </w:divBdr>
                                              <w:divsChild>
                                                <w:div w:id="419764982">
                                                  <w:marLeft w:val="0"/>
                                                  <w:marRight w:val="0"/>
                                                  <w:marTop w:val="0"/>
                                                  <w:marBottom w:val="150"/>
                                                  <w:divBdr>
                                                    <w:top w:val="none" w:sz="0" w:space="0" w:color="auto"/>
                                                    <w:left w:val="none" w:sz="0" w:space="0" w:color="auto"/>
                                                    <w:bottom w:val="none" w:sz="0" w:space="0" w:color="auto"/>
                                                    <w:right w:val="none" w:sz="0" w:space="0" w:color="auto"/>
                                                  </w:divBdr>
                                                </w:div>
                                                <w:div w:id="582566825">
                                                  <w:marLeft w:val="15"/>
                                                  <w:marRight w:val="15"/>
                                                  <w:marTop w:val="15"/>
                                                  <w:marBottom w:val="15"/>
                                                  <w:divBdr>
                                                    <w:top w:val="none" w:sz="0" w:space="0" w:color="auto"/>
                                                    <w:left w:val="none" w:sz="0" w:space="0" w:color="auto"/>
                                                    <w:bottom w:val="none" w:sz="0" w:space="0" w:color="auto"/>
                                                    <w:right w:val="none" w:sz="0" w:space="0" w:color="auto"/>
                                                  </w:divBdr>
                                                  <w:divsChild>
                                                    <w:div w:id="101195060">
                                                      <w:marLeft w:val="0"/>
                                                      <w:marRight w:val="0"/>
                                                      <w:marTop w:val="0"/>
                                                      <w:marBottom w:val="0"/>
                                                      <w:divBdr>
                                                        <w:top w:val="none" w:sz="0" w:space="0" w:color="auto"/>
                                                        <w:left w:val="none" w:sz="0" w:space="0" w:color="auto"/>
                                                        <w:bottom w:val="none" w:sz="0" w:space="0" w:color="auto"/>
                                                        <w:right w:val="none" w:sz="0" w:space="0" w:color="auto"/>
                                                      </w:divBdr>
                                                    </w:div>
                                                    <w:div w:id="1905873147">
                                                      <w:marLeft w:val="0"/>
                                                      <w:marRight w:val="0"/>
                                                      <w:marTop w:val="0"/>
                                                      <w:marBottom w:val="0"/>
                                                      <w:divBdr>
                                                        <w:top w:val="none" w:sz="0" w:space="0" w:color="auto"/>
                                                        <w:left w:val="none" w:sz="0" w:space="0" w:color="auto"/>
                                                        <w:bottom w:val="none" w:sz="0" w:space="0" w:color="auto"/>
                                                        <w:right w:val="none" w:sz="0" w:space="0" w:color="auto"/>
                                                      </w:divBdr>
                                                    </w:div>
                                                    <w:div w:id="20661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ChangeMUI(1036)"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javascript:ChangeMUI(308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ChangeMUI(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ATLASPDC-4-40122</_dlc_DocId>
    <_dlc_DocIdUrl xmlns="f1161f5b-24a3-4c2d-bc81-44cb9325e8ee">
      <Url>https://info.undp.org/docs/pdc/_layouts/DocIdRedir.aspx?ID=ATLASPDC-4-40122</Url>
      <Description>ATLASPDC-4-40122</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2015-09-30T02:00:00+00:00</UNDPPublishedDate>
    <UNDPCountryTaxHTField0 xmlns="1ed4137b-41b2-488b-8250-6d369ec27664">
      <Terms xmlns="http://schemas.microsoft.com/office/infopath/2007/PartnerControls"/>
    </UNDPCountryTaxHTField0>
    <UndpOUCode xmlns="1ed4137b-41b2-488b-8250-6d369ec27664">MNG</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1523</Value>
      <Value>1107</Value>
      <Value>1</Value>
    </TaxCatchAll>
    <c4e2ab2cc9354bbf9064eeb465a566ea xmlns="1ed4137b-41b2-488b-8250-6d369ec27664">
      <Terms xmlns="http://schemas.microsoft.com/office/infopath/2007/PartnerControls"/>
    </c4e2ab2cc9354bbf9064eeb465a566ea>
    <UndpProjectNo xmlns="1ed4137b-41b2-488b-8250-6d369ec27664">00085915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MNG</TermName>
          <TermId xmlns="http://schemas.microsoft.com/office/infopath/2007/PartnerControls">5dea20bb-87a1-40a4-98a4-78a13da8d501</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3735D-D9B2-429A-BA1D-36D2D698AD30}"/>
</file>

<file path=customXml/itemProps2.xml><?xml version="1.0" encoding="utf-8"?>
<ds:datastoreItem xmlns:ds="http://schemas.openxmlformats.org/officeDocument/2006/customXml" ds:itemID="{3CE61DC8-A2CD-44FB-83B6-FBCCF953500B}"/>
</file>

<file path=customXml/itemProps3.xml><?xml version="1.0" encoding="utf-8"?>
<ds:datastoreItem xmlns:ds="http://schemas.openxmlformats.org/officeDocument/2006/customXml" ds:itemID="{8665F90D-2A47-4CBF-B9D0-1828C0E72F26}"/>
</file>

<file path=customXml/itemProps4.xml><?xml version="1.0" encoding="utf-8"?>
<ds:datastoreItem xmlns:ds="http://schemas.openxmlformats.org/officeDocument/2006/customXml" ds:itemID="{BEB60F4A-6C34-43DB-B5FE-6CA50C866E2E}"/>
</file>

<file path=customXml/itemProps5.xml><?xml version="1.0" encoding="utf-8"?>
<ds:datastoreItem xmlns:ds="http://schemas.openxmlformats.org/officeDocument/2006/customXml" ds:itemID="{0C85F2B7-168D-457E-A81A-B181BB7BA88D}"/>
</file>

<file path=customXml/itemProps6.xml><?xml version="1.0" encoding="utf-8"?>
<ds:datastoreItem xmlns:ds="http://schemas.openxmlformats.org/officeDocument/2006/customXml" ds:itemID="{8EE5E170-EB9E-4800-AD1E-F349B590D55D}"/>
</file>

<file path=docProps/app.xml><?xml version="1.0" encoding="utf-8"?>
<Properties xmlns="http://schemas.openxmlformats.org/officeDocument/2006/extended-properties" xmlns:vt="http://schemas.openxmlformats.org/officeDocument/2006/docPropsVTypes">
  <Template>Normal</Template>
  <TotalTime>2</TotalTime>
  <Pages>9</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lastModifiedBy>Buyandelger Ulziikhuu</cp:lastModifiedBy>
  <cp:revision>3</cp:revision>
  <cp:lastPrinted>2014-08-27T08:49:00Z</cp:lastPrinted>
  <dcterms:created xsi:type="dcterms:W3CDTF">2014-08-27T09:17:00Z</dcterms:created>
  <dcterms:modified xsi:type="dcterms:W3CDTF">2014-08-27T09:19:00Z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59d124f3-4b4a-4d18-8ed8-613b2e002f40</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1523;#MNG|5dea20bb-87a1-40a4-98a4-78a13da8d501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Atlas Document Type">
    <vt:lpwstr>1107;#Other|10be685e-4bef-4aec-b905-4df3748c0781</vt:lpwstr>
  </property>
  <property fmtid="{D5CDD505-2E9C-101B-9397-08002B2CF9AE}" pid="18" name="DocumentSetDescription">
    <vt:lpwstr/>
  </property>
  <property fmtid="{D5CDD505-2E9C-101B-9397-08002B2CF9AE}" pid="19" name="URL">
    <vt:lpwstr/>
  </property>
</Properties>
</file>